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FE533" w14:textId="77777777" w:rsidR="004A7982" w:rsidRDefault="004A7982" w:rsidP="00B073C0">
      <w:pPr>
        <w:jc w:val="center"/>
        <w:rPr>
          <w:b/>
          <w:sz w:val="28"/>
          <w:szCs w:val="28"/>
        </w:rPr>
      </w:pPr>
      <w:r>
        <w:rPr>
          <w:b/>
          <w:noProof/>
          <w:sz w:val="28"/>
          <w:szCs w:val="28"/>
        </w:rPr>
        <w:drawing>
          <wp:inline distT="0" distB="0" distL="0" distR="0" wp14:anchorId="06C6A9BD" wp14:editId="0E6A7448">
            <wp:extent cx="1604173" cy="134479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Gen logo final.jpg"/>
                    <pic:cNvPicPr/>
                  </pic:nvPicPr>
                  <pic:blipFill>
                    <a:blip r:embed="rId8">
                      <a:extLst>
                        <a:ext uri="{28A0092B-C50C-407E-A947-70E740481C1C}">
                          <a14:useLocalDpi xmlns:a14="http://schemas.microsoft.com/office/drawing/2010/main" val="0"/>
                        </a:ext>
                      </a:extLst>
                    </a:blip>
                    <a:stretch>
                      <a:fillRect/>
                    </a:stretch>
                  </pic:blipFill>
                  <pic:spPr>
                    <a:xfrm>
                      <a:off x="0" y="0"/>
                      <a:ext cx="1608213" cy="1348186"/>
                    </a:xfrm>
                    <a:prstGeom prst="rect">
                      <a:avLst/>
                    </a:prstGeom>
                  </pic:spPr>
                </pic:pic>
              </a:graphicData>
            </a:graphic>
          </wp:inline>
        </w:drawing>
      </w:r>
    </w:p>
    <w:p w14:paraId="18A89DC3" w14:textId="77777777" w:rsidR="00061729" w:rsidRPr="004A7982" w:rsidRDefault="00B073C0" w:rsidP="00B073C0">
      <w:pPr>
        <w:jc w:val="center"/>
        <w:rPr>
          <w:b/>
          <w:sz w:val="28"/>
          <w:szCs w:val="28"/>
        </w:rPr>
      </w:pPr>
      <w:r w:rsidRPr="004A7982">
        <w:rPr>
          <w:b/>
          <w:sz w:val="28"/>
          <w:szCs w:val="28"/>
        </w:rPr>
        <w:t xml:space="preserve">Process for </w:t>
      </w:r>
      <w:r w:rsidR="00966A77" w:rsidRPr="004A7982">
        <w:rPr>
          <w:b/>
          <w:sz w:val="28"/>
          <w:szCs w:val="28"/>
        </w:rPr>
        <w:t xml:space="preserve">Assigning </w:t>
      </w:r>
      <w:r w:rsidRPr="004A7982">
        <w:rPr>
          <w:b/>
          <w:sz w:val="28"/>
          <w:szCs w:val="28"/>
        </w:rPr>
        <w:t>“Expert Panel” Designation on ClinVar</w:t>
      </w:r>
    </w:p>
    <w:p w14:paraId="17B8F937" w14:textId="77777777" w:rsidR="00B073C0" w:rsidRPr="004A7982" w:rsidRDefault="004A7982" w:rsidP="004A7982">
      <w:pPr>
        <w:jc w:val="center"/>
        <w:rPr>
          <w:b/>
          <w:sz w:val="22"/>
          <w:szCs w:val="22"/>
        </w:rPr>
      </w:pPr>
      <w:r w:rsidRPr="004A7982">
        <w:rPr>
          <w:b/>
          <w:sz w:val="22"/>
          <w:szCs w:val="22"/>
        </w:rPr>
        <w:t>Approved by ClinGen E</w:t>
      </w:r>
      <w:r w:rsidR="00C94E58">
        <w:rPr>
          <w:b/>
          <w:sz w:val="22"/>
          <w:szCs w:val="22"/>
        </w:rPr>
        <w:t xml:space="preserve">xecutive </w:t>
      </w:r>
      <w:r w:rsidRPr="004A7982">
        <w:rPr>
          <w:b/>
          <w:sz w:val="22"/>
          <w:szCs w:val="22"/>
        </w:rPr>
        <w:t>C</w:t>
      </w:r>
      <w:r w:rsidR="00C94E58">
        <w:rPr>
          <w:b/>
          <w:sz w:val="22"/>
          <w:szCs w:val="22"/>
        </w:rPr>
        <w:t xml:space="preserve">ommittee, </w:t>
      </w:r>
      <w:r w:rsidR="00B073C0" w:rsidRPr="004A7982">
        <w:rPr>
          <w:b/>
          <w:sz w:val="22"/>
          <w:szCs w:val="22"/>
        </w:rPr>
        <w:t xml:space="preserve">March </w:t>
      </w:r>
      <w:r w:rsidRPr="004A7982">
        <w:rPr>
          <w:b/>
          <w:sz w:val="22"/>
          <w:szCs w:val="22"/>
        </w:rPr>
        <w:t>21</w:t>
      </w:r>
      <w:r w:rsidR="00B073C0" w:rsidRPr="004A7982">
        <w:rPr>
          <w:b/>
          <w:sz w:val="22"/>
          <w:szCs w:val="22"/>
        </w:rPr>
        <w:t>, 2014</w:t>
      </w:r>
    </w:p>
    <w:p w14:paraId="2E3D6F60" w14:textId="77777777" w:rsidR="00B073C0" w:rsidRDefault="00B073C0" w:rsidP="00B073C0"/>
    <w:p w14:paraId="05E678CA" w14:textId="77777777" w:rsidR="00B073C0" w:rsidRPr="004A7982" w:rsidRDefault="00B073C0">
      <w:pPr>
        <w:rPr>
          <w:sz w:val="22"/>
          <w:szCs w:val="22"/>
        </w:rPr>
      </w:pPr>
      <w:r w:rsidRPr="004A7982">
        <w:rPr>
          <w:sz w:val="22"/>
          <w:szCs w:val="22"/>
        </w:rPr>
        <w:t xml:space="preserve">The ClinVar database is hosted by NCBI and currently </w:t>
      </w:r>
      <w:r w:rsidR="00B6237C" w:rsidRPr="004A7982">
        <w:rPr>
          <w:sz w:val="22"/>
          <w:szCs w:val="22"/>
        </w:rPr>
        <w:t>focuses on sharing variant-centric information</w:t>
      </w:r>
      <w:r w:rsidRPr="004A7982">
        <w:rPr>
          <w:sz w:val="22"/>
          <w:szCs w:val="22"/>
        </w:rPr>
        <w:t xml:space="preserve">.  As part of this submission process the entity submitting the information is asked to provide an assertion with regard to “Clinical Significance”.  </w:t>
      </w:r>
    </w:p>
    <w:p w14:paraId="75B498B9" w14:textId="77777777" w:rsidR="00DE3538" w:rsidRPr="004A7982" w:rsidRDefault="00B073C0" w:rsidP="00DE3538">
      <w:pPr>
        <w:rPr>
          <w:sz w:val="22"/>
          <w:szCs w:val="22"/>
        </w:rPr>
      </w:pPr>
      <w:r w:rsidRPr="004A7982">
        <w:rPr>
          <w:sz w:val="22"/>
          <w:szCs w:val="22"/>
        </w:rPr>
        <w:t xml:space="preserve">In order for users of ClinVar to have additional information with regard to the </w:t>
      </w:r>
      <w:r w:rsidR="00B6237C" w:rsidRPr="004A7982">
        <w:rPr>
          <w:sz w:val="22"/>
          <w:szCs w:val="22"/>
        </w:rPr>
        <w:t>level of review of the submissions</w:t>
      </w:r>
      <w:r w:rsidRPr="004A7982">
        <w:rPr>
          <w:sz w:val="22"/>
          <w:szCs w:val="22"/>
        </w:rPr>
        <w:t xml:space="preserve">, ClinVar has developed a four star rating system (visible in the “Review Status” column).  </w:t>
      </w:r>
      <w:r w:rsidR="00B6237C" w:rsidRPr="004A7982">
        <w:rPr>
          <w:sz w:val="22"/>
          <w:szCs w:val="22"/>
        </w:rPr>
        <w:t xml:space="preserve">Currently, submitters default to the category of "single source" given the inability to stratify expertise on most submissions. </w:t>
      </w:r>
      <w:r w:rsidR="00966A77" w:rsidRPr="004A7982">
        <w:rPr>
          <w:sz w:val="22"/>
          <w:szCs w:val="22"/>
        </w:rPr>
        <w:t xml:space="preserve"> </w:t>
      </w:r>
      <w:r w:rsidR="00B6237C" w:rsidRPr="004A7982">
        <w:rPr>
          <w:sz w:val="22"/>
          <w:szCs w:val="22"/>
        </w:rPr>
        <w:t>However, submitters may apply for the status of "expert panel" according to the descriptions below.</w:t>
      </w:r>
    </w:p>
    <w:p w14:paraId="2C53EC04" w14:textId="77777777" w:rsidR="00DE3538" w:rsidRPr="004A7982" w:rsidRDefault="00DE3538">
      <w:pPr>
        <w:rPr>
          <w:sz w:val="22"/>
          <w:szCs w:val="22"/>
        </w:rPr>
      </w:pPr>
    </w:p>
    <w:p w14:paraId="2A922434" w14:textId="77777777" w:rsidR="00347200" w:rsidRPr="004A7982" w:rsidRDefault="00347200">
      <w:pPr>
        <w:rPr>
          <w:b/>
          <w:sz w:val="22"/>
          <w:szCs w:val="22"/>
        </w:rPr>
      </w:pPr>
      <w:r w:rsidRPr="004A7982">
        <w:rPr>
          <w:b/>
          <w:sz w:val="22"/>
          <w:szCs w:val="22"/>
        </w:rPr>
        <w:t>Expert Panel – Three Stars</w:t>
      </w:r>
      <w:r w:rsidR="00F12AF4" w:rsidRPr="004A7982">
        <w:rPr>
          <w:b/>
          <w:sz w:val="22"/>
          <w:szCs w:val="22"/>
        </w:rPr>
        <w:t xml:space="preserve"> - Process</w:t>
      </w:r>
    </w:p>
    <w:p w14:paraId="4383B50F" w14:textId="77777777" w:rsidR="00CA3ABD" w:rsidRPr="004A7982" w:rsidRDefault="00283A17">
      <w:pPr>
        <w:rPr>
          <w:sz w:val="22"/>
          <w:szCs w:val="22"/>
        </w:rPr>
      </w:pPr>
      <w:r w:rsidRPr="004A7982">
        <w:rPr>
          <w:sz w:val="22"/>
          <w:szCs w:val="22"/>
        </w:rPr>
        <w:t>T</w:t>
      </w:r>
      <w:r w:rsidR="00DE3538" w:rsidRPr="004A7982">
        <w:rPr>
          <w:sz w:val="22"/>
          <w:szCs w:val="22"/>
        </w:rPr>
        <w:t>he three star level description of the</w:t>
      </w:r>
      <w:r w:rsidR="00B073C0" w:rsidRPr="004A7982">
        <w:rPr>
          <w:sz w:val="22"/>
          <w:szCs w:val="22"/>
        </w:rPr>
        <w:t xml:space="preserve"> submitter refers to “Expert Panel” assertions.  </w:t>
      </w:r>
      <w:r w:rsidR="00B6237C" w:rsidRPr="004A7982">
        <w:rPr>
          <w:sz w:val="22"/>
          <w:szCs w:val="22"/>
        </w:rPr>
        <w:t>G</w:t>
      </w:r>
      <w:r w:rsidR="00B073C0" w:rsidRPr="004A7982">
        <w:rPr>
          <w:sz w:val="22"/>
          <w:szCs w:val="22"/>
        </w:rPr>
        <w:t xml:space="preserve">roups seeking Expert Panel designation should submit the information described below </w:t>
      </w:r>
      <w:r w:rsidR="00966A77" w:rsidRPr="004A7982">
        <w:rPr>
          <w:sz w:val="22"/>
          <w:szCs w:val="22"/>
        </w:rPr>
        <w:t xml:space="preserve">using the attached form </w:t>
      </w:r>
      <w:r w:rsidR="00B073C0" w:rsidRPr="004A7982">
        <w:rPr>
          <w:sz w:val="22"/>
          <w:szCs w:val="22"/>
        </w:rPr>
        <w:t xml:space="preserve">with regard to their </w:t>
      </w:r>
      <w:r w:rsidR="00B6237C" w:rsidRPr="004A7982">
        <w:rPr>
          <w:sz w:val="22"/>
          <w:szCs w:val="22"/>
        </w:rPr>
        <w:t>variant evidence review</w:t>
      </w:r>
      <w:r w:rsidR="00CA3ABD" w:rsidRPr="004A7982">
        <w:rPr>
          <w:sz w:val="22"/>
          <w:szCs w:val="22"/>
        </w:rPr>
        <w:t xml:space="preserve"> </w:t>
      </w:r>
      <w:r w:rsidR="00B073C0" w:rsidRPr="004A7982">
        <w:rPr>
          <w:sz w:val="22"/>
          <w:szCs w:val="22"/>
        </w:rPr>
        <w:t xml:space="preserve">process to </w:t>
      </w:r>
      <w:hyperlink r:id="rId9" w:history="1">
        <w:r w:rsidR="00DC1CA8" w:rsidRPr="004A7982">
          <w:rPr>
            <w:rStyle w:val="Hyperlink"/>
            <w:sz w:val="22"/>
            <w:szCs w:val="22"/>
          </w:rPr>
          <w:t>clinvar@ncbi.nlm.nih.gov</w:t>
        </w:r>
      </w:hyperlink>
      <w:r w:rsidR="00DC1CA8" w:rsidRPr="004A7982">
        <w:rPr>
          <w:sz w:val="22"/>
          <w:szCs w:val="22"/>
        </w:rPr>
        <w:t xml:space="preserve"> for review by the Clinical Genome Resource</w:t>
      </w:r>
      <w:r w:rsidR="003E69DF" w:rsidRPr="004A7982">
        <w:rPr>
          <w:sz w:val="22"/>
          <w:szCs w:val="22"/>
        </w:rPr>
        <w:t xml:space="preserve"> (ClinGen) program</w:t>
      </w:r>
      <w:r w:rsidR="00B073C0" w:rsidRPr="004A7982">
        <w:rPr>
          <w:sz w:val="22"/>
          <w:szCs w:val="22"/>
        </w:rPr>
        <w:t>.  This infor</w:t>
      </w:r>
      <w:r w:rsidR="004B1C55" w:rsidRPr="004A7982">
        <w:rPr>
          <w:sz w:val="22"/>
          <w:szCs w:val="22"/>
        </w:rPr>
        <w:t xml:space="preserve">mation will be reviewed by the </w:t>
      </w:r>
      <w:r w:rsidR="00B073C0" w:rsidRPr="004A7982">
        <w:rPr>
          <w:sz w:val="22"/>
          <w:szCs w:val="22"/>
        </w:rPr>
        <w:t xml:space="preserve">appropriate </w:t>
      </w:r>
      <w:r w:rsidR="00166C9F" w:rsidRPr="004A7982">
        <w:rPr>
          <w:sz w:val="22"/>
          <w:szCs w:val="22"/>
        </w:rPr>
        <w:t xml:space="preserve">ClinGen </w:t>
      </w:r>
      <w:r w:rsidR="00B073C0" w:rsidRPr="004A7982">
        <w:rPr>
          <w:sz w:val="22"/>
          <w:szCs w:val="22"/>
        </w:rPr>
        <w:t xml:space="preserve">Clinical Domain Working Group </w:t>
      </w:r>
      <w:r w:rsidR="00166C9F" w:rsidRPr="004A7982">
        <w:rPr>
          <w:sz w:val="22"/>
          <w:szCs w:val="22"/>
        </w:rPr>
        <w:t xml:space="preserve">(e.g., Cardiovascular or Germline Cancer) </w:t>
      </w:r>
      <w:r w:rsidR="00966A77" w:rsidRPr="004A7982">
        <w:rPr>
          <w:sz w:val="22"/>
          <w:szCs w:val="22"/>
        </w:rPr>
        <w:t xml:space="preserve">or ClinGen subcommittee </w:t>
      </w:r>
      <w:r w:rsidR="00166C9F" w:rsidRPr="004A7982">
        <w:rPr>
          <w:sz w:val="22"/>
          <w:szCs w:val="22"/>
        </w:rPr>
        <w:t>and shared with the</w:t>
      </w:r>
      <w:r w:rsidR="00966A77" w:rsidRPr="004A7982">
        <w:rPr>
          <w:sz w:val="22"/>
          <w:szCs w:val="22"/>
        </w:rPr>
        <w:t xml:space="preserve"> ClinGen Executive Committee </w:t>
      </w:r>
      <w:r w:rsidR="00166C9F" w:rsidRPr="004A7982">
        <w:rPr>
          <w:sz w:val="22"/>
          <w:szCs w:val="22"/>
        </w:rPr>
        <w:t>to make the</w:t>
      </w:r>
      <w:r w:rsidR="00966A77" w:rsidRPr="004A7982">
        <w:rPr>
          <w:sz w:val="22"/>
          <w:szCs w:val="22"/>
        </w:rPr>
        <w:t xml:space="preserve"> determination of Expert Panel status for clinical assertions in ClinVar.</w:t>
      </w:r>
      <w:r w:rsidR="00F12AF4" w:rsidRPr="004A7982">
        <w:rPr>
          <w:sz w:val="22"/>
          <w:szCs w:val="22"/>
        </w:rPr>
        <w:t xml:space="preserve">  The </w:t>
      </w:r>
      <w:r w:rsidR="00166C9F" w:rsidRPr="004A7982">
        <w:rPr>
          <w:sz w:val="22"/>
          <w:szCs w:val="22"/>
        </w:rPr>
        <w:t xml:space="preserve">information provided on the </w:t>
      </w:r>
      <w:r w:rsidR="00F12AF4" w:rsidRPr="004A7982">
        <w:rPr>
          <w:sz w:val="22"/>
          <w:szCs w:val="22"/>
        </w:rPr>
        <w:t xml:space="preserve">Expert Panel </w:t>
      </w:r>
      <w:r w:rsidR="00166C9F" w:rsidRPr="004A7982">
        <w:rPr>
          <w:sz w:val="22"/>
          <w:szCs w:val="22"/>
        </w:rPr>
        <w:t xml:space="preserve">request form </w:t>
      </w:r>
      <w:r w:rsidR="00F12AF4" w:rsidRPr="004A7982">
        <w:rPr>
          <w:sz w:val="22"/>
          <w:szCs w:val="22"/>
        </w:rPr>
        <w:t xml:space="preserve">will be posted on the ClinVar website to provide users of the site information about the groups obtaining </w:t>
      </w:r>
      <w:r w:rsidR="000A27FC" w:rsidRPr="004A7982">
        <w:rPr>
          <w:sz w:val="22"/>
          <w:szCs w:val="22"/>
        </w:rPr>
        <w:t>the Expert Panel</w:t>
      </w:r>
      <w:r w:rsidR="00F12AF4" w:rsidRPr="004A7982">
        <w:rPr>
          <w:sz w:val="22"/>
          <w:szCs w:val="22"/>
        </w:rPr>
        <w:t xml:space="preserve"> designation.</w:t>
      </w:r>
    </w:p>
    <w:p w14:paraId="2EC5D5F2" w14:textId="77777777" w:rsidR="00CA3ABD" w:rsidRPr="004A7982" w:rsidRDefault="00CA3ABD">
      <w:pPr>
        <w:rPr>
          <w:sz w:val="22"/>
          <w:szCs w:val="22"/>
        </w:rPr>
      </w:pPr>
    </w:p>
    <w:p w14:paraId="76AD620D" w14:textId="77777777" w:rsidR="00A074E7" w:rsidRPr="004A7982" w:rsidRDefault="000A27FC">
      <w:pPr>
        <w:rPr>
          <w:sz w:val="22"/>
          <w:szCs w:val="22"/>
        </w:rPr>
      </w:pPr>
      <w:r w:rsidRPr="004A7982">
        <w:rPr>
          <w:sz w:val="22"/>
          <w:szCs w:val="22"/>
        </w:rPr>
        <w:t>I</w:t>
      </w:r>
      <w:r w:rsidR="00F12AF4" w:rsidRPr="004A7982">
        <w:rPr>
          <w:sz w:val="22"/>
          <w:szCs w:val="22"/>
        </w:rPr>
        <w:t>nformation should be provided by filling out the ClinVar Expert Panel request form</w:t>
      </w:r>
      <w:r w:rsidRPr="004A7982">
        <w:rPr>
          <w:sz w:val="22"/>
          <w:szCs w:val="22"/>
        </w:rPr>
        <w:t xml:space="preserve"> (maximum of </w:t>
      </w:r>
      <w:r w:rsidR="00FB1B91" w:rsidRPr="004A7982">
        <w:rPr>
          <w:sz w:val="22"/>
          <w:szCs w:val="22"/>
        </w:rPr>
        <w:t>3</w:t>
      </w:r>
      <w:r w:rsidRPr="004A7982">
        <w:rPr>
          <w:sz w:val="22"/>
          <w:szCs w:val="22"/>
        </w:rPr>
        <w:t xml:space="preserve"> pages).  Please make note of the following points:</w:t>
      </w:r>
      <w:r w:rsidR="00FF33BC" w:rsidRPr="004A7982">
        <w:rPr>
          <w:sz w:val="22"/>
          <w:szCs w:val="22"/>
        </w:rPr>
        <w:br/>
      </w:r>
    </w:p>
    <w:p w14:paraId="74979550" w14:textId="77777777" w:rsidR="000A27FC" w:rsidRPr="004A7982" w:rsidRDefault="00EF28DC" w:rsidP="000A27FC">
      <w:pPr>
        <w:pStyle w:val="ColorfulList-Accent11"/>
        <w:numPr>
          <w:ilvl w:val="0"/>
          <w:numId w:val="4"/>
        </w:numPr>
        <w:rPr>
          <w:sz w:val="22"/>
          <w:szCs w:val="22"/>
        </w:rPr>
      </w:pPr>
      <w:r w:rsidRPr="004A7982">
        <w:rPr>
          <w:sz w:val="22"/>
          <w:szCs w:val="22"/>
        </w:rPr>
        <w:t xml:space="preserve">It is recommended that the expert panel include individuals who are medical professionals </w:t>
      </w:r>
      <w:r w:rsidR="00733102" w:rsidRPr="004A7982">
        <w:rPr>
          <w:sz w:val="22"/>
          <w:szCs w:val="22"/>
        </w:rPr>
        <w:t>caring</w:t>
      </w:r>
      <w:r w:rsidRPr="004A7982">
        <w:rPr>
          <w:sz w:val="22"/>
          <w:szCs w:val="22"/>
        </w:rPr>
        <w:t xml:space="preserve"> for patients relevant to the disease</w:t>
      </w:r>
      <w:r w:rsidR="00733102" w:rsidRPr="004A7982">
        <w:rPr>
          <w:sz w:val="22"/>
          <w:szCs w:val="22"/>
        </w:rPr>
        <w:t xml:space="preserve"> gene</w:t>
      </w:r>
      <w:r w:rsidRPr="004A7982">
        <w:rPr>
          <w:sz w:val="22"/>
          <w:szCs w:val="22"/>
        </w:rPr>
        <w:t xml:space="preserve"> in question, medical geneticists, </w:t>
      </w:r>
      <w:r w:rsidR="00966A77" w:rsidRPr="004A7982">
        <w:rPr>
          <w:sz w:val="22"/>
          <w:szCs w:val="22"/>
        </w:rPr>
        <w:t xml:space="preserve">clinical laboratory </w:t>
      </w:r>
      <w:r w:rsidRPr="004A7982">
        <w:rPr>
          <w:sz w:val="22"/>
          <w:szCs w:val="22"/>
        </w:rPr>
        <w:t xml:space="preserve">diagnosticians </w:t>
      </w:r>
      <w:r w:rsidR="00966A77" w:rsidRPr="004A7982">
        <w:rPr>
          <w:sz w:val="22"/>
          <w:szCs w:val="22"/>
        </w:rPr>
        <w:t xml:space="preserve">and/or molecular pathologists </w:t>
      </w:r>
      <w:r w:rsidRPr="004A7982">
        <w:rPr>
          <w:sz w:val="22"/>
          <w:szCs w:val="22"/>
        </w:rPr>
        <w:t>who report such findings and appropriate researchers relevant to the disease, gene, functiona</w:t>
      </w:r>
      <w:r w:rsidR="004E74DF" w:rsidRPr="004A7982">
        <w:rPr>
          <w:sz w:val="22"/>
          <w:szCs w:val="22"/>
        </w:rPr>
        <w:t>l assays and statistical analyse</w:t>
      </w:r>
      <w:r w:rsidRPr="004A7982">
        <w:rPr>
          <w:sz w:val="22"/>
          <w:szCs w:val="22"/>
        </w:rPr>
        <w:t>s.</w:t>
      </w:r>
      <w:r w:rsidR="00F12AF4" w:rsidRPr="004A7982">
        <w:rPr>
          <w:sz w:val="22"/>
          <w:szCs w:val="22"/>
        </w:rPr>
        <w:t xml:space="preserve">  </w:t>
      </w:r>
    </w:p>
    <w:p w14:paraId="7648235B" w14:textId="77777777" w:rsidR="000A27FC" w:rsidRPr="004A7982" w:rsidRDefault="000A27FC" w:rsidP="000A27FC">
      <w:pPr>
        <w:pStyle w:val="ColorfulList-Accent11"/>
        <w:numPr>
          <w:ilvl w:val="0"/>
          <w:numId w:val="4"/>
        </w:numPr>
        <w:rPr>
          <w:sz w:val="22"/>
          <w:szCs w:val="22"/>
        </w:rPr>
      </w:pPr>
      <w:r w:rsidRPr="004A7982">
        <w:rPr>
          <w:sz w:val="22"/>
          <w:szCs w:val="22"/>
        </w:rPr>
        <w:t xml:space="preserve">It is expected that the individuals comprising the expert panel process should represent more than one academic or commercial institution. </w:t>
      </w:r>
    </w:p>
    <w:p w14:paraId="48815FA8" w14:textId="77777777" w:rsidR="00EF28DC" w:rsidRPr="004A7982" w:rsidRDefault="00F12AF4" w:rsidP="00EF28DC">
      <w:pPr>
        <w:pStyle w:val="ColorfulList-Accent11"/>
        <w:numPr>
          <w:ilvl w:val="0"/>
          <w:numId w:val="4"/>
        </w:numPr>
        <w:rPr>
          <w:sz w:val="22"/>
          <w:szCs w:val="22"/>
        </w:rPr>
      </w:pPr>
      <w:r w:rsidRPr="004A7982">
        <w:rPr>
          <w:sz w:val="22"/>
          <w:szCs w:val="22"/>
        </w:rPr>
        <w:t>Information should be pr</w:t>
      </w:r>
      <w:r w:rsidR="000A27FC" w:rsidRPr="004A7982">
        <w:rPr>
          <w:sz w:val="22"/>
          <w:szCs w:val="22"/>
        </w:rPr>
        <w:t>ovided with regard to</w:t>
      </w:r>
      <w:r w:rsidRPr="004A7982">
        <w:rPr>
          <w:sz w:val="22"/>
          <w:szCs w:val="22"/>
        </w:rPr>
        <w:t xml:space="preserve"> any potential conflicts of interest of the panel members</w:t>
      </w:r>
      <w:r w:rsidR="000A27FC" w:rsidRPr="004A7982">
        <w:rPr>
          <w:sz w:val="22"/>
          <w:szCs w:val="22"/>
        </w:rPr>
        <w:t xml:space="preserve"> and how conflicts have been managed</w:t>
      </w:r>
      <w:r w:rsidRPr="004A7982">
        <w:rPr>
          <w:sz w:val="22"/>
          <w:szCs w:val="22"/>
        </w:rPr>
        <w:t>.</w:t>
      </w:r>
    </w:p>
    <w:p w14:paraId="263F84C7" w14:textId="77777777" w:rsidR="00FF33BC" w:rsidRPr="004A7982" w:rsidRDefault="000A27FC" w:rsidP="00DC1CA8">
      <w:pPr>
        <w:pStyle w:val="ColorfulList-Accent11"/>
        <w:numPr>
          <w:ilvl w:val="0"/>
          <w:numId w:val="4"/>
        </w:numPr>
        <w:rPr>
          <w:sz w:val="22"/>
          <w:szCs w:val="22"/>
        </w:rPr>
      </w:pPr>
      <w:r w:rsidRPr="004A7982">
        <w:rPr>
          <w:sz w:val="22"/>
          <w:szCs w:val="22"/>
        </w:rPr>
        <w:t xml:space="preserve">In addition to the one page summary </w:t>
      </w:r>
      <w:r w:rsidR="00733102" w:rsidRPr="004A7982">
        <w:rPr>
          <w:sz w:val="22"/>
          <w:szCs w:val="22"/>
        </w:rPr>
        <w:t xml:space="preserve">requested here </w:t>
      </w:r>
      <w:r w:rsidRPr="004A7982">
        <w:rPr>
          <w:sz w:val="22"/>
          <w:szCs w:val="22"/>
        </w:rPr>
        <w:t xml:space="preserve">there should be </w:t>
      </w:r>
      <w:r w:rsidR="00DC1CA8" w:rsidRPr="004A7982">
        <w:rPr>
          <w:sz w:val="22"/>
          <w:szCs w:val="22"/>
        </w:rPr>
        <w:t xml:space="preserve">more detailed </w:t>
      </w:r>
      <w:r w:rsidR="00EF28DC" w:rsidRPr="004A7982">
        <w:rPr>
          <w:sz w:val="22"/>
          <w:szCs w:val="22"/>
        </w:rPr>
        <w:t xml:space="preserve">information </w:t>
      </w:r>
      <w:r w:rsidR="00DC1CA8" w:rsidRPr="004A7982">
        <w:rPr>
          <w:sz w:val="22"/>
          <w:szCs w:val="22"/>
        </w:rPr>
        <w:t xml:space="preserve">regarding the rules for variant classification </w:t>
      </w:r>
      <w:r w:rsidR="00FF33BC" w:rsidRPr="004A7982">
        <w:rPr>
          <w:sz w:val="22"/>
          <w:szCs w:val="22"/>
        </w:rPr>
        <w:t xml:space="preserve">available to the ClinGen investigators and the individuals accessing the assertions in ClinVar </w:t>
      </w:r>
      <w:r w:rsidRPr="004A7982">
        <w:rPr>
          <w:sz w:val="22"/>
          <w:szCs w:val="22"/>
        </w:rPr>
        <w:t xml:space="preserve">either through </w:t>
      </w:r>
      <w:r w:rsidR="004E74DF" w:rsidRPr="004A7982">
        <w:rPr>
          <w:sz w:val="22"/>
          <w:szCs w:val="22"/>
        </w:rPr>
        <w:t>publication</w:t>
      </w:r>
      <w:r w:rsidR="00FF33BC" w:rsidRPr="004A7982">
        <w:rPr>
          <w:sz w:val="22"/>
          <w:szCs w:val="22"/>
        </w:rPr>
        <w:t>(s)</w:t>
      </w:r>
      <w:r w:rsidR="00347200" w:rsidRPr="004A7982">
        <w:rPr>
          <w:sz w:val="22"/>
          <w:szCs w:val="22"/>
        </w:rPr>
        <w:t xml:space="preserve"> </w:t>
      </w:r>
      <w:r w:rsidR="004E74DF" w:rsidRPr="004A7982">
        <w:rPr>
          <w:sz w:val="22"/>
          <w:szCs w:val="22"/>
        </w:rPr>
        <w:t xml:space="preserve">in the medical literature and/or </w:t>
      </w:r>
      <w:r w:rsidR="00DC1CA8" w:rsidRPr="004A7982">
        <w:rPr>
          <w:sz w:val="22"/>
          <w:szCs w:val="22"/>
        </w:rPr>
        <w:t>posting</w:t>
      </w:r>
      <w:r w:rsidR="004E74DF" w:rsidRPr="004A7982">
        <w:rPr>
          <w:sz w:val="22"/>
          <w:szCs w:val="22"/>
        </w:rPr>
        <w:t xml:space="preserve"> on </w:t>
      </w:r>
      <w:r w:rsidR="00347200" w:rsidRPr="004A7982">
        <w:rPr>
          <w:sz w:val="22"/>
          <w:szCs w:val="22"/>
        </w:rPr>
        <w:t xml:space="preserve">a public </w:t>
      </w:r>
      <w:r w:rsidR="004E74DF" w:rsidRPr="004A7982">
        <w:rPr>
          <w:sz w:val="22"/>
          <w:szCs w:val="22"/>
        </w:rPr>
        <w:t>website</w:t>
      </w:r>
      <w:r w:rsidR="004033C9" w:rsidRPr="004A7982">
        <w:rPr>
          <w:sz w:val="22"/>
          <w:szCs w:val="22"/>
        </w:rPr>
        <w:t>.</w:t>
      </w:r>
    </w:p>
    <w:p w14:paraId="6DD58A7A" w14:textId="77777777" w:rsidR="00DC1CA8" w:rsidRDefault="00FF33BC" w:rsidP="000A27FC">
      <w:pPr>
        <w:pStyle w:val="ColorfulList-Accent11"/>
        <w:numPr>
          <w:ilvl w:val="0"/>
          <w:numId w:val="4"/>
        </w:numPr>
      </w:pPr>
      <w:r w:rsidRPr="004A7982">
        <w:rPr>
          <w:sz w:val="22"/>
          <w:szCs w:val="22"/>
        </w:rPr>
        <w:t>The completed form of any group assigned Expert Panel status will be made available on the ClinVar database website.</w:t>
      </w:r>
      <w:r w:rsidR="000A27FC" w:rsidRPr="004A7982">
        <w:rPr>
          <w:sz w:val="22"/>
          <w:szCs w:val="22"/>
        </w:rPr>
        <w:br/>
      </w:r>
    </w:p>
    <w:p w14:paraId="342E4F66" w14:textId="77777777" w:rsidR="000A27FC" w:rsidRPr="00F72CEC" w:rsidRDefault="00FF33BC" w:rsidP="000A27FC">
      <w:pPr>
        <w:ind w:left="720"/>
        <w:jc w:val="center"/>
        <w:rPr>
          <w:b/>
          <w:sz w:val="28"/>
          <w:szCs w:val="28"/>
        </w:rPr>
      </w:pPr>
      <w:r>
        <w:rPr>
          <w:b/>
          <w:sz w:val="28"/>
          <w:szCs w:val="28"/>
        </w:rPr>
        <w:br w:type="page"/>
      </w:r>
      <w:r w:rsidR="000A27FC">
        <w:rPr>
          <w:b/>
          <w:sz w:val="28"/>
          <w:szCs w:val="28"/>
        </w:rPr>
        <w:lastRenderedPageBreak/>
        <w:t xml:space="preserve">Request for </w:t>
      </w:r>
      <w:r w:rsidR="000A27FC" w:rsidRPr="00F72CEC">
        <w:rPr>
          <w:b/>
          <w:sz w:val="28"/>
          <w:szCs w:val="28"/>
        </w:rPr>
        <w:t>“Expert Panel” Designation on ClinVar</w:t>
      </w:r>
      <w:r w:rsidR="00FB1B91">
        <w:rPr>
          <w:b/>
          <w:sz w:val="28"/>
          <w:szCs w:val="28"/>
        </w:rPr>
        <w:t xml:space="preserve"> </w:t>
      </w:r>
    </w:p>
    <w:p w14:paraId="6FA8D73D" w14:textId="77777777" w:rsidR="00B073C0" w:rsidRPr="004A7982" w:rsidRDefault="00B073C0">
      <w:pPr>
        <w:rPr>
          <w:rFonts w:asciiTheme="majorHAnsi" w:hAnsiTheme="majorHAnsi"/>
          <w:sz w:val="22"/>
          <w:szCs w:val="22"/>
        </w:rPr>
      </w:pPr>
    </w:p>
    <w:p w14:paraId="3B564189" w14:textId="77777777" w:rsidR="00E1727A" w:rsidRDefault="00FF33BC" w:rsidP="00FF33BC">
      <w:pPr>
        <w:ind w:left="360"/>
        <w:rPr>
          <w:rFonts w:asciiTheme="majorHAnsi" w:hAnsiTheme="majorHAnsi"/>
          <w:sz w:val="22"/>
          <w:szCs w:val="22"/>
        </w:rPr>
      </w:pPr>
      <w:r w:rsidRPr="004A7982">
        <w:rPr>
          <w:rFonts w:asciiTheme="majorHAnsi" w:hAnsiTheme="majorHAnsi"/>
          <w:b/>
          <w:sz w:val="22"/>
          <w:szCs w:val="22"/>
        </w:rPr>
        <w:t xml:space="preserve">1.  </w:t>
      </w:r>
      <w:r w:rsidR="000A27FC" w:rsidRPr="004A7982">
        <w:rPr>
          <w:rFonts w:asciiTheme="majorHAnsi" w:hAnsiTheme="majorHAnsi"/>
          <w:b/>
          <w:sz w:val="22"/>
          <w:szCs w:val="22"/>
        </w:rPr>
        <w:t>Name of Expert Panel (please write out any acronyms):</w:t>
      </w:r>
      <w:r w:rsidR="000A27FC" w:rsidRPr="004A7982">
        <w:rPr>
          <w:rFonts w:asciiTheme="majorHAnsi" w:hAnsiTheme="majorHAnsi"/>
          <w:b/>
          <w:sz w:val="22"/>
          <w:szCs w:val="22"/>
        </w:rPr>
        <w:br/>
      </w:r>
    </w:p>
    <w:p w14:paraId="771D00B4" w14:textId="77777777" w:rsidR="00FF33BC" w:rsidRPr="004A7982" w:rsidRDefault="00E1727A" w:rsidP="00FF33BC">
      <w:pPr>
        <w:ind w:left="360"/>
        <w:rPr>
          <w:rFonts w:asciiTheme="majorHAnsi" w:hAnsiTheme="majorHAnsi"/>
          <w:b/>
          <w:sz w:val="22"/>
          <w:szCs w:val="22"/>
        </w:rPr>
      </w:pPr>
      <w:r>
        <w:rPr>
          <w:rFonts w:asciiTheme="majorHAnsi" w:hAnsiTheme="majorHAnsi"/>
          <w:sz w:val="22"/>
          <w:szCs w:val="22"/>
        </w:rPr>
        <w:t>Pharmacogenomics Knowledge Base (PharmGKB)</w:t>
      </w:r>
      <w:r w:rsidR="00FF33BC" w:rsidRPr="004A7982">
        <w:rPr>
          <w:rFonts w:asciiTheme="majorHAnsi" w:hAnsiTheme="majorHAnsi"/>
          <w:sz w:val="22"/>
          <w:szCs w:val="22"/>
        </w:rPr>
        <w:br/>
      </w:r>
      <w:r w:rsidR="00FF33BC" w:rsidRPr="004A7982">
        <w:rPr>
          <w:rFonts w:asciiTheme="majorHAnsi" w:hAnsiTheme="majorHAnsi"/>
          <w:sz w:val="22"/>
          <w:szCs w:val="22"/>
        </w:rPr>
        <w:br/>
      </w:r>
      <w:r w:rsidR="00FF33BC" w:rsidRPr="004A7982">
        <w:rPr>
          <w:rFonts w:asciiTheme="majorHAnsi" w:hAnsiTheme="majorHAnsi"/>
          <w:sz w:val="22"/>
          <w:szCs w:val="22"/>
        </w:rPr>
        <w:br/>
      </w:r>
      <w:r w:rsidR="00FB1B91" w:rsidRPr="004A7982">
        <w:rPr>
          <w:rFonts w:asciiTheme="majorHAnsi" w:hAnsiTheme="majorHAnsi"/>
          <w:b/>
          <w:sz w:val="22"/>
          <w:szCs w:val="22"/>
        </w:rPr>
        <w:t xml:space="preserve">2.  Date </w:t>
      </w:r>
      <w:r w:rsidR="00BD274C" w:rsidRPr="004A7982">
        <w:rPr>
          <w:rFonts w:asciiTheme="majorHAnsi" w:hAnsiTheme="majorHAnsi"/>
          <w:b/>
          <w:sz w:val="22"/>
          <w:szCs w:val="22"/>
        </w:rPr>
        <w:t xml:space="preserve">form </w:t>
      </w:r>
      <w:r w:rsidR="00FB1B91" w:rsidRPr="004A7982">
        <w:rPr>
          <w:rFonts w:asciiTheme="majorHAnsi" w:hAnsiTheme="majorHAnsi"/>
          <w:b/>
          <w:sz w:val="22"/>
          <w:szCs w:val="22"/>
        </w:rPr>
        <w:t xml:space="preserve">submitted to </w:t>
      </w:r>
      <w:hyperlink r:id="rId10" w:history="1">
        <w:r w:rsidR="00FB1B91" w:rsidRPr="004A7982">
          <w:rPr>
            <w:rStyle w:val="Hyperlink"/>
            <w:rFonts w:asciiTheme="majorHAnsi" w:hAnsiTheme="majorHAnsi"/>
            <w:b/>
            <w:sz w:val="22"/>
            <w:szCs w:val="22"/>
          </w:rPr>
          <w:t>clinvar@ncbi.nlm.nih.gov</w:t>
        </w:r>
      </w:hyperlink>
      <w:r w:rsidR="00FB1B91" w:rsidRPr="004A7982">
        <w:rPr>
          <w:rFonts w:asciiTheme="majorHAnsi" w:hAnsiTheme="majorHAnsi"/>
          <w:b/>
          <w:sz w:val="22"/>
          <w:szCs w:val="22"/>
        </w:rPr>
        <w:t xml:space="preserve"> </w:t>
      </w:r>
      <w:r w:rsidR="005520B9" w:rsidRPr="004A7982">
        <w:rPr>
          <w:rFonts w:asciiTheme="majorHAnsi" w:hAnsiTheme="majorHAnsi"/>
          <w:b/>
          <w:sz w:val="22"/>
          <w:szCs w:val="22"/>
        </w:rPr>
        <w:t>:</w:t>
      </w:r>
      <w:r w:rsidR="00FB1B91" w:rsidRPr="004A7982">
        <w:rPr>
          <w:rFonts w:asciiTheme="majorHAnsi" w:hAnsiTheme="majorHAnsi"/>
          <w:b/>
          <w:sz w:val="22"/>
          <w:szCs w:val="22"/>
        </w:rPr>
        <w:t>______</w:t>
      </w:r>
      <w:r w:rsidRPr="00E1727A">
        <w:rPr>
          <w:rFonts w:asciiTheme="majorHAnsi" w:hAnsiTheme="majorHAnsi"/>
          <w:sz w:val="22"/>
          <w:szCs w:val="22"/>
        </w:rPr>
        <w:t>August         2014</w:t>
      </w:r>
      <w:r w:rsidR="00FB1B91" w:rsidRPr="004A7982">
        <w:rPr>
          <w:rFonts w:asciiTheme="majorHAnsi" w:hAnsiTheme="majorHAnsi"/>
          <w:b/>
          <w:sz w:val="22"/>
          <w:szCs w:val="22"/>
        </w:rPr>
        <w:t>__________________________</w:t>
      </w:r>
      <w:r w:rsidR="00BD274C" w:rsidRPr="004A7982">
        <w:rPr>
          <w:rFonts w:asciiTheme="majorHAnsi" w:hAnsiTheme="majorHAnsi"/>
          <w:b/>
          <w:sz w:val="22"/>
          <w:szCs w:val="22"/>
        </w:rPr>
        <w:t xml:space="preserve"> </w:t>
      </w:r>
      <w:r w:rsidR="00FB1B91" w:rsidRPr="004A7982">
        <w:rPr>
          <w:rFonts w:asciiTheme="majorHAnsi" w:hAnsiTheme="majorHAnsi"/>
          <w:b/>
          <w:sz w:val="22"/>
          <w:szCs w:val="22"/>
        </w:rPr>
        <w:br/>
      </w:r>
    </w:p>
    <w:p w14:paraId="2EB0F4B9" w14:textId="77777777" w:rsidR="00E1727A" w:rsidRDefault="00FB1B91" w:rsidP="00E1727A">
      <w:pPr>
        <w:ind w:left="360"/>
        <w:rPr>
          <w:rFonts w:asciiTheme="majorHAnsi" w:hAnsiTheme="majorHAnsi"/>
          <w:b/>
          <w:sz w:val="22"/>
          <w:szCs w:val="22"/>
        </w:rPr>
      </w:pPr>
      <w:r w:rsidRPr="004A7982">
        <w:rPr>
          <w:rFonts w:asciiTheme="majorHAnsi" w:hAnsiTheme="majorHAnsi"/>
          <w:b/>
          <w:sz w:val="22"/>
          <w:szCs w:val="22"/>
        </w:rPr>
        <w:t>3</w:t>
      </w:r>
      <w:r w:rsidR="00FF33BC" w:rsidRPr="004A7982">
        <w:rPr>
          <w:rFonts w:asciiTheme="majorHAnsi" w:hAnsiTheme="majorHAnsi"/>
          <w:b/>
          <w:sz w:val="22"/>
          <w:szCs w:val="22"/>
        </w:rPr>
        <w:t xml:space="preserve">.  </w:t>
      </w:r>
      <w:r w:rsidR="000A27FC" w:rsidRPr="004A7982">
        <w:rPr>
          <w:rFonts w:asciiTheme="majorHAnsi" w:hAnsiTheme="majorHAnsi"/>
          <w:b/>
          <w:sz w:val="22"/>
          <w:szCs w:val="22"/>
        </w:rPr>
        <w:t>Contact name</w:t>
      </w:r>
      <w:r w:rsidR="00FF33BC" w:rsidRPr="004A7982">
        <w:rPr>
          <w:rFonts w:asciiTheme="majorHAnsi" w:hAnsiTheme="majorHAnsi"/>
          <w:b/>
          <w:sz w:val="22"/>
          <w:szCs w:val="22"/>
        </w:rPr>
        <w:t>, institution</w:t>
      </w:r>
      <w:r w:rsidR="000A27FC" w:rsidRPr="004A7982">
        <w:rPr>
          <w:rFonts w:asciiTheme="majorHAnsi" w:hAnsiTheme="majorHAnsi"/>
          <w:b/>
          <w:sz w:val="22"/>
          <w:szCs w:val="22"/>
        </w:rPr>
        <w:t xml:space="preserve"> and email address for </w:t>
      </w:r>
      <w:r w:rsidR="00FF33BC" w:rsidRPr="004A7982">
        <w:rPr>
          <w:rFonts w:asciiTheme="majorHAnsi" w:hAnsiTheme="majorHAnsi"/>
          <w:b/>
          <w:sz w:val="22"/>
          <w:szCs w:val="22"/>
        </w:rPr>
        <w:t xml:space="preserve">one </w:t>
      </w:r>
      <w:r w:rsidR="000A27FC" w:rsidRPr="004A7982">
        <w:rPr>
          <w:rFonts w:asciiTheme="majorHAnsi" w:hAnsiTheme="majorHAnsi"/>
          <w:b/>
          <w:sz w:val="22"/>
          <w:szCs w:val="22"/>
        </w:rPr>
        <w:t xml:space="preserve">Expert Panel representative </w:t>
      </w:r>
      <w:r w:rsidR="00FF33BC" w:rsidRPr="004A7982">
        <w:rPr>
          <w:rFonts w:asciiTheme="majorHAnsi" w:hAnsiTheme="majorHAnsi"/>
          <w:b/>
          <w:sz w:val="22"/>
          <w:szCs w:val="22"/>
        </w:rPr>
        <w:t xml:space="preserve">who will be the contact person for </w:t>
      </w:r>
      <w:r w:rsidRPr="004A7982">
        <w:rPr>
          <w:rFonts w:asciiTheme="majorHAnsi" w:hAnsiTheme="majorHAnsi"/>
          <w:b/>
          <w:sz w:val="22"/>
          <w:szCs w:val="22"/>
        </w:rPr>
        <w:t>the ClinGen Executive Committee:</w:t>
      </w:r>
      <w:r w:rsidR="00FF33BC" w:rsidRPr="004A7982">
        <w:rPr>
          <w:rFonts w:asciiTheme="majorHAnsi" w:hAnsiTheme="majorHAnsi"/>
          <w:b/>
          <w:sz w:val="22"/>
          <w:szCs w:val="22"/>
        </w:rPr>
        <w:t xml:space="preserve"> </w:t>
      </w:r>
      <w:r w:rsidR="00BD274C" w:rsidRPr="004A7982">
        <w:rPr>
          <w:rFonts w:asciiTheme="majorHAnsi" w:hAnsiTheme="majorHAnsi"/>
          <w:b/>
          <w:sz w:val="22"/>
          <w:szCs w:val="22"/>
        </w:rPr>
        <w:br/>
      </w:r>
      <w:r w:rsidR="00BD274C" w:rsidRPr="004A7982">
        <w:rPr>
          <w:rFonts w:asciiTheme="majorHAnsi" w:hAnsiTheme="majorHAnsi"/>
          <w:b/>
          <w:sz w:val="22"/>
          <w:szCs w:val="22"/>
        </w:rPr>
        <w:br/>
      </w:r>
      <w:r w:rsidR="00E1727A">
        <w:rPr>
          <w:rFonts w:asciiTheme="majorHAnsi" w:hAnsiTheme="majorHAnsi"/>
          <w:b/>
          <w:sz w:val="22"/>
          <w:szCs w:val="22"/>
        </w:rPr>
        <w:t>Teri E. Klein, PhD</w:t>
      </w:r>
      <w:r w:rsidR="00E1727A">
        <w:rPr>
          <w:rFonts w:asciiTheme="majorHAnsi" w:hAnsiTheme="majorHAnsi"/>
          <w:b/>
          <w:sz w:val="22"/>
          <w:szCs w:val="22"/>
        </w:rPr>
        <w:tab/>
      </w:r>
      <w:r w:rsidR="00E1727A">
        <w:rPr>
          <w:rFonts w:asciiTheme="majorHAnsi" w:hAnsiTheme="majorHAnsi"/>
          <w:b/>
          <w:sz w:val="22"/>
          <w:szCs w:val="22"/>
        </w:rPr>
        <w:tab/>
      </w:r>
      <w:r w:rsidR="00E1727A">
        <w:rPr>
          <w:rFonts w:asciiTheme="majorHAnsi" w:hAnsiTheme="majorHAnsi"/>
          <w:b/>
          <w:sz w:val="22"/>
          <w:szCs w:val="22"/>
        </w:rPr>
        <w:tab/>
      </w:r>
      <w:r w:rsidR="00E1727A">
        <w:rPr>
          <w:rFonts w:asciiTheme="majorHAnsi" w:hAnsiTheme="majorHAnsi"/>
          <w:b/>
          <w:sz w:val="22"/>
          <w:szCs w:val="22"/>
        </w:rPr>
        <w:tab/>
      </w:r>
      <w:r w:rsidR="00E1727A">
        <w:rPr>
          <w:rFonts w:asciiTheme="majorHAnsi" w:hAnsiTheme="majorHAnsi"/>
          <w:b/>
          <w:sz w:val="22"/>
          <w:szCs w:val="22"/>
        </w:rPr>
        <w:tab/>
      </w:r>
    </w:p>
    <w:p w14:paraId="55A93672" w14:textId="77777777" w:rsidR="00E1727A" w:rsidRDefault="00E1727A" w:rsidP="00E1727A">
      <w:pPr>
        <w:ind w:left="360"/>
        <w:rPr>
          <w:rFonts w:asciiTheme="majorHAnsi" w:hAnsiTheme="majorHAnsi"/>
          <w:b/>
          <w:sz w:val="22"/>
          <w:szCs w:val="22"/>
        </w:rPr>
      </w:pPr>
      <w:r>
        <w:rPr>
          <w:rFonts w:asciiTheme="majorHAnsi" w:hAnsiTheme="majorHAnsi"/>
          <w:b/>
          <w:sz w:val="22"/>
          <w:szCs w:val="22"/>
        </w:rPr>
        <w:t>Stanford University</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p>
    <w:p w14:paraId="579A9A11" w14:textId="77777777" w:rsidR="00FF33BC" w:rsidRPr="004A7982" w:rsidRDefault="001813E3" w:rsidP="00E1727A">
      <w:pPr>
        <w:ind w:left="360"/>
        <w:rPr>
          <w:rFonts w:asciiTheme="majorHAnsi" w:hAnsiTheme="majorHAnsi"/>
          <w:b/>
          <w:sz w:val="22"/>
          <w:szCs w:val="22"/>
        </w:rPr>
      </w:pPr>
      <w:hyperlink r:id="rId11" w:history="1">
        <w:r w:rsidR="00E1727A" w:rsidRPr="00A50535">
          <w:rPr>
            <w:rStyle w:val="Hyperlink"/>
            <w:rFonts w:asciiTheme="majorHAnsi" w:hAnsiTheme="majorHAnsi"/>
            <w:b/>
            <w:sz w:val="22"/>
            <w:szCs w:val="22"/>
          </w:rPr>
          <w:t>teri.klein@stanford.edu</w:t>
        </w:r>
      </w:hyperlink>
      <w:r w:rsidR="00BD274C" w:rsidRPr="004A7982">
        <w:rPr>
          <w:rFonts w:asciiTheme="majorHAnsi" w:hAnsiTheme="majorHAnsi"/>
          <w:b/>
          <w:sz w:val="22"/>
          <w:szCs w:val="22"/>
        </w:rPr>
        <w:br/>
      </w:r>
      <w:r w:rsidR="00FF33BC" w:rsidRPr="004A7982">
        <w:rPr>
          <w:rFonts w:asciiTheme="majorHAnsi" w:hAnsiTheme="majorHAnsi"/>
          <w:b/>
          <w:sz w:val="22"/>
          <w:szCs w:val="22"/>
        </w:rPr>
        <w:br/>
      </w:r>
    </w:p>
    <w:p w14:paraId="6115522B" w14:textId="77777777" w:rsidR="00FF33BC" w:rsidRPr="004A7982" w:rsidRDefault="00FF33BC" w:rsidP="00FF33BC">
      <w:pPr>
        <w:ind w:left="360"/>
        <w:rPr>
          <w:rFonts w:asciiTheme="majorHAnsi" w:hAnsiTheme="majorHAnsi"/>
          <w:b/>
          <w:sz w:val="22"/>
          <w:szCs w:val="22"/>
        </w:rPr>
      </w:pPr>
      <w:r w:rsidRPr="004A7982">
        <w:rPr>
          <w:rFonts w:asciiTheme="majorHAnsi" w:hAnsiTheme="majorHAnsi"/>
          <w:b/>
          <w:sz w:val="22"/>
          <w:szCs w:val="22"/>
        </w:rPr>
        <w:t xml:space="preserve">3.  </w:t>
      </w:r>
      <w:r w:rsidR="004B1C55" w:rsidRPr="004A7982">
        <w:rPr>
          <w:rFonts w:asciiTheme="majorHAnsi" w:hAnsiTheme="majorHAnsi"/>
          <w:b/>
          <w:sz w:val="22"/>
          <w:szCs w:val="22"/>
        </w:rPr>
        <w:t>Please provide m</w:t>
      </w:r>
      <w:r w:rsidRPr="004A7982">
        <w:rPr>
          <w:rFonts w:asciiTheme="majorHAnsi" w:hAnsiTheme="majorHAnsi"/>
          <w:b/>
          <w:sz w:val="22"/>
          <w:szCs w:val="22"/>
        </w:rPr>
        <w:t>ember</w:t>
      </w:r>
      <w:r w:rsidR="005520B9" w:rsidRPr="004A7982">
        <w:rPr>
          <w:rFonts w:asciiTheme="majorHAnsi" w:hAnsiTheme="majorHAnsi"/>
          <w:b/>
          <w:sz w:val="22"/>
          <w:szCs w:val="22"/>
        </w:rPr>
        <w:t xml:space="preserve"> names, type of expertise, e.g. </w:t>
      </w:r>
      <w:r w:rsidRPr="004A7982">
        <w:rPr>
          <w:rFonts w:asciiTheme="majorHAnsi" w:hAnsiTheme="majorHAnsi"/>
          <w:b/>
          <w:sz w:val="22"/>
          <w:szCs w:val="22"/>
        </w:rPr>
        <w:t>clinical, clinical labora</w:t>
      </w:r>
      <w:r w:rsidR="005520B9" w:rsidRPr="004A7982">
        <w:rPr>
          <w:rFonts w:asciiTheme="majorHAnsi" w:hAnsiTheme="majorHAnsi"/>
          <w:b/>
          <w:sz w:val="22"/>
          <w:szCs w:val="22"/>
        </w:rPr>
        <w:t>tory, bioinformatic or research</w:t>
      </w:r>
      <w:r w:rsidRPr="004A7982">
        <w:rPr>
          <w:rFonts w:asciiTheme="majorHAnsi" w:hAnsiTheme="majorHAnsi"/>
          <w:b/>
          <w:sz w:val="22"/>
          <w:szCs w:val="22"/>
        </w:rPr>
        <w:t xml:space="preserve"> and institutional affiliation of the Expert Panel</w:t>
      </w:r>
      <w:r w:rsidR="005520B9" w:rsidRPr="004A7982">
        <w:rPr>
          <w:rFonts w:asciiTheme="majorHAnsi" w:hAnsiTheme="majorHAnsi"/>
          <w:b/>
          <w:sz w:val="22"/>
          <w:szCs w:val="22"/>
        </w:rPr>
        <w:t xml:space="preserve"> members</w:t>
      </w:r>
      <w:r w:rsidR="004B1C55" w:rsidRPr="004A7982">
        <w:rPr>
          <w:rFonts w:asciiTheme="majorHAnsi" w:hAnsiTheme="majorHAnsi"/>
          <w:b/>
          <w:sz w:val="22"/>
          <w:szCs w:val="22"/>
        </w:rPr>
        <w:t xml:space="preserve"> using the table provided</w:t>
      </w:r>
      <w:r w:rsidRPr="004A7982">
        <w:rPr>
          <w:rFonts w:asciiTheme="majorHAnsi" w:hAnsiTheme="majorHAnsi"/>
          <w:b/>
          <w:sz w:val="22"/>
          <w:szCs w:val="22"/>
        </w:rPr>
        <w:t>.  Please note any individuals currently serving in a leadership role e.g. steering co</w:t>
      </w:r>
      <w:r w:rsidR="004B1C55" w:rsidRPr="004A7982">
        <w:rPr>
          <w:rFonts w:asciiTheme="majorHAnsi" w:hAnsiTheme="majorHAnsi"/>
          <w:b/>
          <w:sz w:val="22"/>
          <w:szCs w:val="22"/>
        </w:rPr>
        <w:t>mmittee chairs.</w:t>
      </w:r>
      <w:r w:rsidRPr="004A7982">
        <w:rPr>
          <w:rFonts w:asciiTheme="majorHAnsi" w:hAnsiTheme="majorHAnsi"/>
          <w:b/>
          <w:sz w:val="22"/>
          <w:szCs w:val="22"/>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480"/>
        <w:gridCol w:w="2502"/>
        <w:gridCol w:w="2484"/>
      </w:tblGrid>
      <w:tr w:rsidR="00FF33BC" w:rsidRPr="004A7982" w14:paraId="3256BDBF" w14:textId="77777777" w:rsidTr="0003001D">
        <w:tc>
          <w:tcPr>
            <w:tcW w:w="2470" w:type="dxa"/>
            <w:shd w:val="clear" w:color="auto" w:fill="auto"/>
          </w:tcPr>
          <w:p w14:paraId="09FE2D37" w14:textId="77777777" w:rsidR="00FF33BC" w:rsidRPr="004A7982" w:rsidRDefault="00FF33BC" w:rsidP="00FF33BC">
            <w:pPr>
              <w:rPr>
                <w:rFonts w:asciiTheme="majorHAnsi" w:hAnsiTheme="majorHAnsi"/>
                <w:b/>
                <w:sz w:val="22"/>
                <w:szCs w:val="22"/>
              </w:rPr>
            </w:pPr>
            <w:r w:rsidRPr="004A7982">
              <w:rPr>
                <w:rFonts w:asciiTheme="majorHAnsi" w:hAnsiTheme="majorHAnsi"/>
                <w:b/>
                <w:sz w:val="22"/>
                <w:szCs w:val="22"/>
              </w:rPr>
              <w:t>Name</w:t>
            </w:r>
          </w:p>
        </w:tc>
        <w:tc>
          <w:tcPr>
            <w:tcW w:w="2480" w:type="dxa"/>
            <w:shd w:val="clear" w:color="auto" w:fill="auto"/>
          </w:tcPr>
          <w:p w14:paraId="7719588A" w14:textId="77777777" w:rsidR="00FF33BC" w:rsidRPr="004A7982" w:rsidRDefault="004B1C55" w:rsidP="00FF33BC">
            <w:pPr>
              <w:rPr>
                <w:rFonts w:asciiTheme="majorHAnsi" w:hAnsiTheme="majorHAnsi"/>
                <w:b/>
                <w:sz w:val="22"/>
                <w:szCs w:val="22"/>
              </w:rPr>
            </w:pPr>
            <w:r w:rsidRPr="004A7982">
              <w:rPr>
                <w:rFonts w:asciiTheme="majorHAnsi" w:hAnsiTheme="majorHAnsi"/>
                <w:b/>
                <w:sz w:val="22"/>
                <w:szCs w:val="22"/>
              </w:rPr>
              <w:t>Institution</w:t>
            </w:r>
          </w:p>
        </w:tc>
        <w:tc>
          <w:tcPr>
            <w:tcW w:w="2502" w:type="dxa"/>
            <w:shd w:val="clear" w:color="auto" w:fill="auto"/>
          </w:tcPr>
          <w:p w14:paraId="2266A3DD" w14:textId="77777777" w:rsidR="00FF33BC" w:rsidRPr="004A7982" w:rsidRDefault="004B1C55" w:rsidP="00FF33BC">
            <w:pPr>
              <w:rPr>
                <w:rFonts w:asciiTheme="majorHAnsi" w:hAnsiTheme="majorHAnsi"/>
                <w:b/>
                <w:sz w:val="22"/>
                <w:szCs w:val="22"/>
              </w:rPr>
            </w:pPr>
            <w:r w:rsidRPr="004A7982">
              <w:rPr>
                <w:rFonts w:asciiTheme="majorHAnsi" w:hAnsiTheme="majorHAnsi"/>
                <w:b/>
                <w:sz w:val="22"/>
                <w:szCs w:val="22"/>
              </w:rPr>
              <w:t>Expertise</w:t>
            </w:r>
          </w:p>
        </w:tc>
        <w:tc>
          <w:tcPr>
            <w:tcW w:w="2484" w:type="dxa"/>
            <w:shd w:val="clear" w:color="auto" w:fill="auto"/>
          </w:tcPr>
          <w:p w14:paraId="56A92755" w14:textId="77777777" w:rsidR="00FF33BC" w:rsidRPr="004A7982" w:rsidRDefault="00FF33BC" w:rsidP="00FF33BC">
            <w:pPr>
              <w:rPr>
                <w:rFonts w:asciiTheme="majorHAnsi" w:hAnsiTheme="majorHAnsi"/>
                <w:b/>
                <w:sz w:val="22"/>
                <w:szCs w:val="22"/>
              </w:rPr>
            </w:pPr>
            <w:r w:rsidRPr="004A7982">
              <w:rPr>
                <w:rFonts w:asciiTheme="majorHAnsi" w:hAnsiTheme="majorHAnsi"/>
                <w:b/>
                <w:sz w:val="22"/>
                <w:szCs w:val="22"/>
              </w:rPr>
              <w:t>Leadership Role</w:t>
            </w:r>
          </w:p>
        </w:tc>
      </w:tr>
      <w:tr w:rsidR="00FF33BC" w:rsidRPr="004A7982" w14:paraId="0A970C94" w14:textId="77777777" w:rsidTr="0003001D">
        <w:tc>
          <w:tcPr>
            <w:tcW w:w="2470" w:type="dxa"/>
            <w:shd w:val="clear" w:color="auto" w:fill="auto"/>
          </w:tcPr>
          <w:p w14:paraId="44BA285F" w14:textId="77777777" w:rsidR="00FF33BC" w:rsidRPr="004A7982" w:rsidRDefault="004A59B2" w:rsidP="00FF33BC">
            <w:pPr>
              <w:rPr>
                <w:rFonts w:asciiTheme="majorHAnsi" w:hAnsiTheme="majorHAnsi"/>
                <w:b/>
                <w:sz w:val="22"/>
                <w:szCs w:val="22"/>
              </w:rPr>
            </w:pPr>
            <w:r w:rsidRPr="001A18DC">
              <w:rPr>
                <w:rFonts w:asciiTheme="majorHAnsi" w:hAnsiTheme="majorHAnsi"/>
                <w:sz w:val="22"/>
                <w:szCs w:val="22"/>
              </w:rPr>
              <w:t>Teri E. Klein, Ph.D</w:t>
            </w:r>
          </w:p>
        </w:tc>
        <w:tc>
          <w:tcPr>
            <w:tcW w:w="2480" w:type="dxa"/>
            <w:shd w:val="clear" w:color="auto" w:fill="auto"/>
          </w:tcPr>
          <w:p w14:paraId="34AB9223" w14:textId="77777777" w:rsidR="00FF33BC" w:rsidRPr="004A7982" w:rsidRDefault="004A59B2" w:rsidP="00FF33BC">
            <w:pPr>
              <w:rPr>
                <w:rFonts w:asciiTheme="majorHAnsi" w:hAnsiTheme="majorHAnsi"/>
                <w:b/>
                <w:sz w:val="22"/>
                <w:szCs w:val="22"/>
              </w:rPr>
            </w:pPr>
            <w:r w:rsidRPr="001A18DC">
              <w:rPr>
                <w:rFonts w:asciiTheme="majorHAnsi" w:hAnsiTheme="majorHAnsi"/>
                <w:sz w:val="22"/>
                <w:szCs w:val="22"/>
              </w:rPr>
              <w:t>Stanford University</w:t>
            </w:r>
          </w:p>
        </w:tc>
        <w:tc>
          <w:tcPr>
            <w:tcW w:w="2502" w:type="dxa"/>
            <w:shd w:val="clear" w:color="auto" w:fill="auto"/>
          </w:tcPr>
          <w:p w14:paraId="35122973" w14:textId="77777777" w:rsidR="004A59B2" w:rsidRDefault="004A59B2" w:rsidP="004A59B2">
            <w:pPr>
              <w:rPr>
                <w:rFonts w:asciiTheme="majorHAnsi" w:hAnsiTheme="majorHAnsi"/>
                <w:sz w:val="22"/>
                <w:szCs w:val="22"/>
              </w:rPr>
            </w:pPr>
            <w:r>
              <w:rPr>
                <w:rFonts w:asciiTheme="majorHAnsi" w:hAnsiTheme="majorHAnsi"/>
                <w:sz w:val="22"/>
                <w:szCs w:val="22"/>
              </w:rPr>
              <w:t>Research</w:t>
            </w:r>
          </w:p>
          <w:p w14:paraId="14CCE75D" w14:textId="77777777" w:rsidR="00FF33BC" w:rsidRPr="004A7982" w:rsidRDefault="004A59B2" w:rsidP="004A59B2">
            <w:pPr>
              <w:rPr>
                <w:rFonts w:asciiTheme="majorHAnsi" w:hAnsiTheme="majorHAnsi"/>
                <w:b/>
                <w:sz w:val="22"/>
                <w:szCs w:val="22"/>
              </w:rPr>
            </w:pPr>
            <w:r>
              <w:rPr>
                <w:rFonts w:asciiTheme="majorHAnsi" w:hAnsiTheme="majorHAnsi"/>
                <w:sz w:val="22"/>
                <w:szCs w:val="22"/>
              </w:rPr>
              <w:t>Bioinformatics</w:t>
            </w:r>
          </w:p>
        </w:tc>
        <w:tc>
          <w:tcPr>
            <w:tcW w:w="2484" w:type="dxa"/>
            <w:shd w:val="clear" w:color="auto" w:fill="auto"/>
          </w:tcPr>
          <w:p w14:paraId="13D4924F" w14:textId="77777777" w:rsidR="00FF33BC" w:rsidRDefault="004A59B2" w:rsidP="00FF33BC">
            <w:pPr>
              <w:rPr>
                <w:rFonts w:asciiTheme="majorHAnsi" w:hAnsiTheme="majorHAnsi"/>
                <w:sz w:val="22"/>
                <w:szCs w:val="22"/>
              </w:rPr>
            </w:pPr>
            <w:r>
              <w:rPr>
                <w:rFonts w:asciiTheme="majorHAnsi" w:hAnsiTheme="majorHAnsi"/>
                <w:sz w:val="22"/>
                <w:szCs w:val="22"/>
              </w:rPr>
              <w:t>Director and PI of PharmGKB</w:t>
            </w:r>
          </w:p>
          <w:p w14:paraId="5CFDAB07" w14:textId="77777777" w:rsidR="009F579F" w:rsidRPr="004A7982" w:rsidRDefault="009F579F" w:rsidP="00FF33BC">
            <w:pPr>
              <w:rPr>
                <w:rFonts w:asciiTheme="majorHAnsi" w:hAnsiTheme="majorHAnsi"/>
                <w:b/>
                <w:sz w:val="22"/>
                <w:szCs w:val="22"/>
              </w:rPr>
            </w:pPr>
            <w:r>
              <w:rPr>
                <w:rFonts w:asciiTheme="majorHAnsi" w:hAnsiTheme="majorHAnsi"/>
                <w:sz w:val="22"/>
                <w:szCs w:val="22"/>
              </w:rPr>
              <w:t>Co-Leader, CPIC</w:t>
            </w:r>
          </w:p>
        </w:tc>
      </w:tr>
      <w:tr w:rsidR="00FF33BC" w:rsidRPr="004A7982" w14:paraId="74A43DA4" w14:textId="77777777" w:rsidTr="0003001D">
        <w:tc>
          <w:tcPr>
            <w:tcW w:w="2470" w:type="dxa"/>
            <w:shd w:val="clear" w:color="auto" w:fill="auto"/>
          </w:tcPr>
          <w:p w14:paraId="5FCA45DB" w14:textId="77777777" w:rsidR="00FF33BC" w:rsidRPr="004A59B2" w:rsidRDefault="004A59B2" w:rsidP="00FF33BC">
            <w:pPr>
              <w:rPr>
                <w:rFonts w:asciiTheme="majorHAnsi" w:hAnsiTheme="majorHAnsi"/>
                <w:sz w:val="22"/>
                <w:szCs w:val="22"/>
              </w:rPr>
            </w:pPr>
            <w:r>
              <w:rPr>
                <w:rFonts w:asciiTheme="majorHAnsi" w:hAnsiTheme="majorHAnsi"/>
                <w:sz w:val="22"/>
                <w:szCs w:val="22"/>
              </w:rPr>
              <w:t>Russ B Altman, MD/Ph.D</w:t>
            </w:r>
          </w:p>
        </w:tc>
        <w:tc>
          <w:tcPr>
            <w:tcW w:w="2480" w:type="dxa"/>
            <w:shd w:val="clear" w:color="auto" w:fill="auto"/>
          </w:tcPr>
          <w:p w14:paraId="6DE6D652" w14:textId="77777777" w:rsidR="00FF33BC" w:rsidRPr="004A7982" w:rsidRDefault="004A59B2" w:rsidP="00FF33BC">
            <w:pPr>
              <w:rPr>
                <w:rFonts w:asciiTheme="majorHAnsi" w:hAnsiTheme="majorHAnsi"/>
                <w:b/>
                <w:sz w:val="22"/>
                <w:szCs w:val="22"/>
              </w:rPr>
            </w:pPr>
            <w:r w:rsidRPr="001A18DC">
              <w:rPr>
                <w:rFonts w:asciiTheme="majorHAnsi" w:hAnsiTheme="majorHAnsi"/>
                <w:sz w:val="22"/>
                <w:szCs w:val="22"/>
              </w:rPr>
              <w:t>Stanford University</w:t>
            </w:r>
          </w:p>
        </w:tc>
        <w:tc>
          <w:tcPr>
            <w:tcW w:w="2502" w:type="dxa"/>
            <w:shd w:val="clear" w:color="auto" w:fill="auto"/>
          </w:tcPr>
          <w:p w14:paraId="4BB8F9FB" w14:textId="77777777" w:rsidR="00FF33BC" w:rsidRDefault="004A59B2" w:rsidP="00FF33BC">
            <w:pPr>
              <w:rPr>
                <w:rFonts w:asciiTheme="majorHAnsi" w:hAnsiTheme="majorHAnsi"/>
                <w:sz w:val="22"/>
                <w:szCs w:val="22"/>
              </w:rPr>
            </w:pPr>
            <w:r>
              <w:rPr>
                <w:rFonts w:asciiTheme="majorHAnsi" w:hAnsiTheme="majorHAnsi"/>
                <w:sz w:val="22"/>
                <w:szCs w:val="22"/>
              </w:rPr>
              <w:t>Research</w:t>
            </w:r>
          </w:p>
          <w:p w14:paraId="125AE522" w14:textId="77777777" w:rsidR="004A59B2" w:rsidRPr="004A59B2" w:rsidRDefault="004A59B2" w:rsidP="00FF33BC">
            <w:pPr>
              <w:rPr>
                <w:rFonts w:asciiTheme="majorHAnsi" w:hAnsiTheme="majorHAnsi"/>
                <w:sz w:val="22"/>
                <w:szCs w:val="22"/>
              </w:rPr>
            </w:pPr>
            <w:r>
              <w:rPr>
                <w:rFonts w:asciiTheme="majorHAnsi" w:hAnsiTheme="majorHAnsi"/>
                <w:sz w:val="22"/>
                <w:szCs w:val="22"/>
              </w:rPr>
              <w:t>Medical informatics</w:t>
            </w:r>
          </w:p>
        </w:tc>
        <w:tc>
          <w:tcPr>
            <w:tcW w:w="2484" w:type="dxa"/>
            <w:shd w:val="clear" w:color="auto" w:fill="auto"/>
          </w:tcPr>
          <w:p w14:paraId="4414FFC0" w14:textId="77777777" w:rsidR="00FF33BC" w:rsidRPr="004A59B2" w:rsidRDefault="004A59B2" w:rsidP="00FF33BC">
            <w:pPr>
              <w:rPr>
                <w:rFonts w:asciiTheme="majorHAnsi" w:hAnsiTheme="majorHAnsi"/>
                <w:sz w:val="22"/>
                <w:szCs w:val="22"/>
              </w:rPr>
            </w:pPr>
            <w:r>
              <w:rPr>
                <w:rFonts w:asciiTheme="majorHAnsi" w:hAnsiTheme="majorHAnsi"/>
                <w:sz w:val="22"/>
                <w:szCs w:val="22"/>
              </w:rPr>
              <w:t>PI of PharmGKB</w:t>
            </w:r>
          </w:p>
        </w:tc>
      </w:tr>
      <w:tr w:rsidR="00FF33BC" w:rsidRPr="004A7982" w14:paraId="3C6BBEDF" w14:textId="77777777" w:rsidTr="0003001D">
        <w:tc>
          <w:tcPr>
            <w:tcW w:w="2470" w:type="dxa"/>
            <w:shd w:val="clear" w:color="auto" w:fill="auto"/>
          </w:tcPr>
          <w:p w14:paraId="5BDDB510" w14:textId="77777777" w:rsidR="00FF33BC" w:rsidRPr="004A7982" w:rsidRDefault="00AD13CA" w:rsidP="00FF33BC">
            <w:pPr>
              <w:rPr>
                <w:rFonts w:asciiTheme="majorHAnsi" w:hAnsiTheme="majorHAnsi"/>
                <w:b/>
                <w:sz w:val="22"/>
                <w:szCs w:val="22"/>
              </w:rPr>
            </w:pPr>
            <w:r>
              <w:rPr>
                <w:rFonts w:asciiTheme="majorHAnsi" w:hAnsiTheme="majorHAnsi"/>
                <w:sz w:val="22"/>
                <w:szCs w:val="22"/>
              </w:rPr>
              <w:t>Michelle Whirl Carrillo, Ph.D.</w:t>
            </w:r>
          </w:p>
        </w:tc>
        <w:tc>
          <w:tcPr>
            <w:tcW w:w="2480" w:type="dxa"/>
            <w:shd w:val="clear" w:color="auto" w:fill="auto"/>
          </w:tcPr>
          <w:p w14:paraId="637803A6" w14:textId="77777777" w:rsidR="00FF33BC" w:rsidRPr="004A7982" w:rsidRDefault="00AD13CA" w:rsidP="00FF33BC">
            <w:pPr>
              <w:rPr>
                <w:rFonts w:asciiTheme="majorHAnsi" w:hAnsiTheme="majorHAnsi"/>
                <w:b/>
                <w:sz w:val="22"/>
                <w:szCs w:val="22"/>
              </w:rPr>
            </w:pPr>
            <w:r w:rsidRPr="001A18DC">
              <w:rPr>
                <w:rFonts w:asciiTheme="majorHAnsi" w:hAnsiTheme="majorHAnsi"/>
                <w:sz w:val="22"/>
                <w:szCs w:val="22"/>
              </w:rPr>
              <w:t>Stanford University</w:t>
            </w:r>
          </w:p>
        </w:tc>
        <w:tc>
          <w:tcPr>
            <w:tcW w:w="2502" w:type="dxa"/>
            <w:shd w:val="clear" w:color="auto" w:fill="auto"/>
          </w:tcPr>
          <w:p w14:paraId="0E30D32C" w14:textId="77777777" w:rsidR="00AD13CA" w:rsidRDefault="00AD13CA" w:rsidP="00AD13CA">
            <w:pPr>
              <w:rPr>
                <w:rFonts w:asciiTheme="majorHAnsi" w:hAnsiTheme="majorHAnsi"/>
                <w:sz w:val="22"/>
                <w:szCs w:val="22"/>
              </w:rPr>
            </w:pPr>
            <w:r>
              <w:rPr>
                <w:rFonts w:asciiTheme="majorHAnsi" w:hAnsiTheme="majorHAnsi"/>
                <w:sz w:val="22"/>
                <w:szCs w:val="22"/>
              </w:rPr>
              <w:t>Research</w:t>
            </w:r>
          </w:p>
          <w:p w14:paraId="0221E6A0" w14:textId="77777777" w:rsidR="00FF33BC" w:rsidRPr="004A7982" w:rsidRDefault="00AD13CA" w:rsidP="00AD13CA">
            <w:pPr>
              <w:rPr>
                <w:rFonts w:asciiTheme="majorHAnsi" w:hAnsiTheme="majorHAnsi"/>
                <w:b/>
                <w:sz w:val="22"/>
                <w:szCs w:val="22"/>
              </w:rPr>
            </w:pPr>
            <w:r>
              <w:rPr>
                <w:rFonts w:asciiTheme="majorHAnsi" w:hAnsiTheme="majorHAnsi"/>
                <w:sz w:val="22"/>
                <w:szCs w:val="22"/>
              </w:rPr>
              <w:t>B</w:t>
            </w:r>
            <w:r w:rsidRPr="001A18DC">
              <w:rPr>
                <w:rFonts w:asciiTheme="majorHAnsi" w:hAnsiTheme="majorHAnsi"/>
                <w:sz w:val="22"/>
                <w:szCs w:val="22"/>
              </w:rPr>
              <w:t>ioinformatics</w:t>
            </w:r>
          </w:p>
        </w:tc>
        <w:tc>
          <w:tcPr>
            <w:tcW w:w="2484" w:type="dxa"/>
            <w:shd w:val="clear" w:color="auto" w:fill="auto"/>
          </w:tcPr>
          <w:p w14:paraId="69993EF8" w14:textId="77777777" w:rsidR="00FF33BC" w:rsidRDefault="00AD13CA" w:rsidP="00FF33BC">
            <w:pPr>
              <w:rPr>
                <w:rFonts w:asciiTheme="majorHAnsi" w:hAnsiTheme="majorHAnsi"/>
                <w:sz w:val="22"/>
                <w:szCs w:val="22"/>
              </w:rPr>
            </w:pPr>
            <w:r>
              <w:rPr>
                <w:rFonts w:asciiTheme="majorHAnsi" w:hAnsiTheme="majorHAnsi"/>
                <w:sz w:val="22"/>
                <w:szCs w:val="22"/>
              </w:rPr>
              <w:t>Associate Director, PharmGKB</w:t>
            </w:r>
          </w:p>
          <w:p w14:paraId="3711AECD" w14:textId="77777777" w:rsidR="009F579F" w:rsidRPr="004A7982" w:rsidRDefault="009F579F" w:rsidP="00FF33BC">
            <w:pPr>
              <w:rPr>
                <w:rFonts w:asciiTheme="majorHAnsi" w:hAnsiTheme="majorHAnsi"/>
                <w:b/>
                <w:sz w:val="22"/>
                <w:szCs w:val="22"/>
              </w:rPr>
            </w:pPr>
            <w:r>
              <w:rPr>
                <w:rFonts w:asciiTheme="majorHAnsi" w:hAnsiTheme="majorHAnsi"/>
                <w:sz w:val="22"/>
                <w:szCs w:val="22"/>
              </w:rPr>
              <w:t>Co-Chair CPIC Informatics</w:t>
            </w:r>
          </w:p>
        </w:tc>
      </w:tr>
      <w:tr w:rsidR="00FF33BC" w:rsidRPr="004A7982" w14:paraId="6276E477" w14:textId="77777777" w:rsidTr="0003001D">
        <w:tc>
          <w:tcPr>
            <w:tcW w:w="2470" w:type="dxa"/>
            <w:shd w:val="clear" w:color="auto" w:fill="auto"/>
          </w:tcPr>
          <w:p w14:paraId="0C864708" w14:textId="77777777" w:rsidR="00FF33BC" w:rsidRPr="00AD13CA" w:rsidRDefault="00AD13CA" w:rsidP="00FF33BC">
            <w:pPr>
              <w:rPr>
                <w:rFonts w:asciiTheme="majorHAnsi" w:hAnsiTheme="majorHAnsi"/>
                <w:sz w:val="22"/>
                <w:szCs w:val="22"/>
              </w:rPr>
            </w:pPr>
            <w:r w:rsidRPr="00AD13CA">
              <w:rPr>
                <w:rFonts w:asciiTheme="majorHAnsi" w:hAnsiTheme="majorHAnsi"/>
                <w:sz w:val="22"/>
                <w:szCs w:val="22"/>
              </w:rPr>
              <w:t>Nancy Cox, PhD</w:t>
            </w:r>
          </w:p>
        </w:tc>
        <w:tc>
          <w:tcPr>
            <w:tcW w:w="2480" w:type="dxa"/>
            <w:shd w:val="clear" w:color="auto" w:fill="auto"/>
          </w:tcPr>
          <w:p w14:paraId="165FC577" w14:textId="77777777" w:rsidR="00FF33BC" w:rsidRPr="00AD13CA" w:rsidRDefault="00AD13CA" w:rsidP="00FF33BC">
            <w:pPr>
              <w:rPr>
                <w:rFonts w:asciiTheme="majorHAnsi" w:hAnsiTheme="majorHAnsi"/>
                <w:sz w:val="22"/>
                <w:szCs w:val="22"/>
              </w:rPr>
            </w:pPr>
            <w:r>
              <w:rPr>
                <w:rFonts w:asciiTheme="majorHAnsi" w:hAnsiTheme="majorHAnsi"/>
                <w:sz w:val="22"/>
                <w:szCs w:val="22"/>
              </w:rPr>
              <w:t>University of Chica</w:t>
            </w:r>
            <w:r w:rsidRPr="00AD13CA">
              <w:rPr>
                <w:rFonts w:asciiTheme="majorHAnsi" w:hAnsiTheme="majorHAnsi"/>
                <w:sz w:val="22"/>
                <w:szCs w:val="22"/>
              </w:rPr>
              <w:t>go</w:t>
            </w:r>
          </w:p>
        </w:tc>
        <w:tc>
          <w:tcPr>
            <w:tcW w:w="2502" w:type="dxa"/>
            <w:shd w:val="clear" w:color="auto" w:fill="auto"/>
          </w:tcPr>
          <w:p w14:paraId="73272B9C" w14:textId="77777777" w:rsidR="00FF33BC" w:rsidRDefault="00AD13CA" w:rsidP="00FF33BC">
            <w:pPr>
              <w:rPr>
                <w:rFonts w:asciiTheme="majorHAnsi" w:hAnsiTheme="majorHAnsi"/>
                <w:sz w:val="22"/>
                <w:szCs w:val="22"/>
              </w:rPr>
            </w:pPr>
            <w:r>
              <w:rPr>
                <w:rFonts w:asciiTheme="majorHAnsi" w:hAnsiTheme="majorHAnsi"/>
                <w:sz w:val="22"/>
                <w:szCs w:val="22"/>
              </w:rPr>
              <w:t>Research</w:t>
            </w:r>
          </w:p>
          <w:p w14:paraId="40C10784" w14:textId="77777777" w:rsidR="00AD13CA" w:rsidRPr="00AD13CA" w:rsidRDefault="00AD13CA" w:rsidP="00FF33BC">
            <w:pPr>
              <w:rPr>
                <w:rFonts w:asciiTheme="majorHAnsi" w:hAnsiTheme="majorHAnsi"/>
                <w:sz w:val="22"/>
                <w:szCs w:val="22"/>
              </w:rPr>
            </w:pPr>
            <w:r>
              <w:rPr>
                <w:rFonts w:asciiTheme="majorHAnsi" w:hAnsiTheme="majorHAnsi"/>
                <w:sz w:val="22"/>
                <w:szCs w:val="22"/>
              </w:rPr>
              <w:t>Genetics</w:t>
            </w:r>
          </w:p>
        </w:tc>
        <w:tc>
          <w:tcPr>
            <w:tcW w:w="2484" w:type="dxa"/>
            <w:shd w:val="clear" w:color="auto" w:fill="auto"/>
          </w:tcPr>
          <w:p w14:paraId="484A38EE" w14:textId="77777777" w:rsidR="00FF33BC" w:rsidRPr="00AD13CA" w:rsidRDefault="00AD13CA" w:rsidP="00FF33BC">
            <w:pPr>
              <w:rPr>
                <w:rFonts w:asciiTheme="majorHAnsi" w:hAnsiTheme="majorHAnsi"/>
                <w:sz w:val="22"/>
                <w:szCs w:val="22"/>
              </w:rPr>
            </w:pPr>
            <w:r>
              <w:rPr>
                <w:rFonts w:asciiTheme="majorHAnsi" w:hAnsiTheme="majorHAnsi"/>
                <w:sz w:val="22"/>
                <w:szCs w:val="22"/>
              </w:rPr>
              <w:t>Scientific Advisor for PharmGKB</w:t>
            </w:r>
          </w:p>
        </w:tc>
      </w:tr>
      <w:tr w:rsidR="00FF33BC" w:rsidRPr="004A7982" w14:paraId="1443EC9B" w14:textId="77777777" w:rsidTr="0003001D">
        <w:tc>
          <w:tcPr>
            <w:tcW w:w="2470" w:type="dxa"/>
            <w:shd w:val="clear" w:color="auto" w:fill="auto"/>
          </w:tcPr>
          <w:p w14:paraId="0627998D" w14:textId="77777777" w:rsidR="00FF33BC" w:rsidRPr="00AD13CA" w:rsidRDefault="00AD13CA" w:rsidP="00FF33BC">
            <w:pPr>
              <w:rPr>
                <w:rFonts w:asciiTheme="majorHAnsi" w:hAnsiTheme="majorHAnsi"/>
                <w:sz w:val="22"/>
                <w:szCs w:val="22"/>
              </w:rPr>
            </w:pPr>
            <w:r w:rsidRPr="00AD13CA">
              <w:rPr>
                <w:rFonts w:asciiTheme="majorHAnsi" w:hAnsiTheme="majorHAnsi"/>
                <w:sz w:val="22"/>
                <w:szCs w:val="22"/>
              </w:rPr>
              <w:t>David Haussler, PhD</w:t>
            </w:r>
          </w:p>
        </w:tc>
        <w:tc>
          <w:tcPr>
            <w:tcW w:w="2480" w:type="dxa"/>
            <w:shd w:val="clear" w:color="auto" w:fill="auto"/>
          </w:tcPr>
          <w:p w14:paraId="383A746A" w14:textId="77777777" w:rsidR="00FF33BC" w:rsidRPr="00AD13CA" w:rsidRDefault="00AD13CA" w:rsidP="00FF33BC">
            <w:pPr>
              <w:rPr>
                <w:rFonts w:asciiTheme="majorHAnsi" w:hAnsiTheme="majorHAnsi"/>
                <w:sz w:val="22"/>
                <w:szCs w:val="22"/>
              </w:rPr>
            </w:pPr>
            <w:r w:rsidRPr="00AD13CA">
              <w:rPr>
                <w:rFonts w:asciiTheme="majorHAnsi" w:hAnsiTheme="majorHAnsi"/>
                <w:sz w:val="22"/>
                <w:szCs w:val="22"/>
              </w:rPr>
              <w:t>University of California, Santa Cruz</w:t>
            </w:r>
          </w:p>
        </w:tc>
        <w:tc>
          <w:tcPr>
            <w:tcW w:w="2502" w:type="dxa"/>
            <w:shd w:val="clear" w:color="auto" w:fill="auto"/>
          </w:tcPr>
          <w:p w14:paraId="3590D735" w14:textId="77777777" w:rsidR="00AD13CA" w:rsidRDefault="00AD13CA" w:rsidP="00AD13CA">
            <w:pPr>
              <w:rPr>
                <w:rFonts w:asciiTheme="majorHAnsi" w:hAnsiTheme="majorHAnsi"/>
                <w:sz w:val="22"/>
                <w:szCs w:val="22"/>
              </w:rPr>
            </w:pPr>
            <w:r>
              <w:rPr>
                <w:rFonts w:asciiTheme="majorHAnsi" w:hAnsiTheme="majorHAnsi"/>
                <w:sz w:val="22"/>
                <w:szCs w:val="22"/>
              </w:rPr>
              <w:t>Research</w:t>
            </w:r>
          </w:p>
          <w:p w14:paraId="109CD7C9" w14:textId="77777777" w:rsidR="00FF33BC" w:rsidRPr="00AD13CA" w:rsidRDefault="00AD13CA" w:rsidP="00AD13CA">
            <w:pPr>
              <w:rPr>
                <w:rFonts w:asciiTheme="majorHAnsi" w:hAnsiTheme="majorHAnsi"/>
                <w:sz w:val="22"/>
                <w:szCs w:val="22"/>
              </w:rPr>
            </w:pPr>
            <w:r>
              <w:rPr>
                <w:rFonts w:asciiTheme="majorHAnsi" w:hAnsiTheme="majorHAnsi"/>
                <w:sz w:val="22"/>
                <w:szCs w:val="22"/>
              </w:rPr>
              <w:t>B</w:t>
            </w:r>
            <w:r w:rsidRPr="001A18DC">
              <w:rPr>
                <w:rFonts w:asciiTheme="majorHAnsi" w:hAnsiTheme="majorHAnsi"/>
                <w:sz w:val="22"/>
                <w:szCs w:val="22"/>
              </w:rPr>
              <w:t>ioinformatics</w:t>
            </w:r>
          </w:p>
        </w:tc>
        <w:tc>
          <w:tcPr>
            <w:tcW w:w="2484" w:type="dxa"/>
            <w:shd w:val="clear" w:color="auto" w:fill="auto"/>
          </w:tcPr>
          <w:p w14:paraId="6C0EF117" w14:textId="77777777" w:rsidR="00FF33BC" w:rsidRPr="00AD13CA" w:rsidRDefault="00AD13CA" w:rsidP="00FF33BC">
            <w:pPr>
              <w:rPr>
                <w:rFonts w:asciiTheme="majorHAnsi" w:hAnsiTheme="majorHAnsi"/>
                <w:sz w:val="22"/>
                <w:szCs w:val="22"/>
              </w:rPr>
            </w:pPr>
            <w:r>
              <w:rPr>
                <w:rFonts w:asciiTheme="majorHAnsi" w:hAnsiTheme="majorHAnsi"/>
                <w:sz w:val="22"/>
                <w:szCs w:val="22"/>
              </w:rPr>
              <w:t>Scientific Advisor for PharmGKB</w:t>
            </w:r>
          </w:p>
        </w:tc>
      </w:tr>
      <w:tr w:rsidR="00FF33BC" w:rsidRPr="004A7982" w14:paraId="1262FFAC" w14:textId="77777777" w:rsidTr="0003001D">
        <w:tc>
          <w:tcPr>
            <w:tcW w:w="2470" w:type="dxa"/>
            <w:shd w:val="clear" w:color="auto" w:fill="auto"/>
          </w:tcPr>
          <w:p w14:paraId="0CD8A37E" w14:textId="77777777" w:rsidR="00FF33BC" w:rsidRPr="00AD13CA" w:rsidRDefault="00AD13CA" w:rsidP="00FF33BC">
            <w:pPr>
              <w:rPr>
                <w:rFonts w:asciiTheme="majorHAnsi" w:hAnsiTheme="majorHAnsi"/>
                <w:sz w:val="22"/>
                <w:szCs w:val="22"/>
              </w:rPr>
            </w:pPr>
            <w:r w:rsidRPr="00AD13CA">
              <w:rPr>
                <w:rFonts w:asciiTheme="majorHAnsi" w:hAnsiTheme="majorHAnsi"/>
                <w:sz w:val="22"/>
                <w:szCs w:val="22"/>
              </w:rPr>
              <w:t>Julie A. Johnson, PharmD, FCCP, BCPS</w:t>
            </w:r>
          </w:p>
        </w:tc>
        <w:tc>
          <w:tcPr>
            <w:tcW w:w="2480" w:type="dxa"/>
            <w:shd w:val="clear" w:color="auto" w:fill="auto"/>
          </w:tcPr>
          <w:p w14:paraId="6E04E08D" w14:textId="77777777" w:rsidR="00FF33BC" w:rsidRPr="00AD13CA" w:rsidRDefault="00AD13CA" w:rsidP="00FF33BC">
            <w:pPr>
              <w:rPr>
                <w:rFonts w:asciiTheme="majorHAnsi" w:hAnsiTheme="majorHAnsi"/>
                <w:sz w:val="22"/>
                <w:szCs w:val="22"/>
              </w:rPr>
            </w:pPr>
            <w:r w:rsidRPr="00AD13CA">
              <w:rPr>
                <w:rFonts w:asciiTheme="majorHAnsi" w:hAnsiTheme="majorHAnsi"/>
                <w:sz w:val="22"/>
                <w:szCs w:val="22"/>
              </w:rPr>
              <w:t>University of Florida</w:t>
            </w:r>
          </w:p>
        </w:tc>
        <w:tc>
          <w:tcPr>
            <w:tcW w:w="2502" w:type="dxa"/>
            <w:shd w:val="clear" w:color="auto" w:fill="auto"/>
          </w:tcPr>
          <w:p w14:paraId="4C2781E0" w14:textId="77777777" w:rsidR="00FF33BC" w:rsidRPr="00AD13CA" w:rsidRDefault="00AD13CA" w:rsidP="00FF33BC">
            <w:pPr>
              <w:rPr>
                <w:rFonts w:asciiTheme="majorHAnsi" w:hAnsiTheme="majorHAnsi"/>
                <w:sz w:val="22"/>
                <w:szCs w:val="22"/>
              </w:rPr>
            </w:pPr>
            <w:r>
              <w:rPr>
                <w:rFonts w:asciiTheme="majorHAnsi" w:hAnsiTheme="majorHAnsi"/>
                <w:sz w:val="22"/>
                <w:szCs w:val="22"/>
              </w:rPr>
              <w:t>Clinical Research</w:t>
            </w:r>
          </w:p>
        </w:tc>
        <w:tc>
          <w:tcPr>
            <w:tcW w:w="2484" w:type="dxa"/>
            <w:shd w:val="clear" w:color="auto" w:fill="auto"/>
          </w:tcPr>
          <w:p w14:paraId="22AE4392" w14:textId="77777777" w:rsidR="00FF33BC" w:rsidRPr="00AD13CA" w:rsidRDefault="00AD13CA" w:rsidP="00FF33BC">
            <w:pPr>
              <w:rPr>
                <w:rFonts w:asciiTheme="majorHAnsi" w:hAnsiTheme="majorHAnsi"/>
                <w:sz w:val="22"/>
                <w:szCs w:val="22"/>
              </w:rPr>
            </w:pPr>
            <w:r>
              <w:rPr>
                <w:rFonts w:asciiTheme="majorHAnsi" w:hAnsiTheme="majorHAnsi"/>
                <w:sz w:val="22"/>
                <w:szCs w:val="22"/>
              </w:rPr>
              <w:t>Scientific Advisor for PharmGKB</w:t>
            </w:r>
          </w:p>
        </w:tc>
      </w:tr>
      <w:tr w:rsidR="009F579F" w:rsidRPr="004A7982" w14:paraId="2C183C22" w14:textId="77777777" w:rsidTr="0003001D">
        <w:tc>
          <w:tcPr>
            <w:tcW w:w="2470" w:type="dxa"/>
            <w:shd w:val="clear" w:color="auto" w:fill="auto"/>
          </w:tcPr>
          <w:p w14:paraId="7AF735D5" w14:textId="77777777" w:rsidR="009F579F" w:rsidRPr="00AD13CA" w:rsidRDefault="009F579F" w:rsidP="00FF33BC">
            <w:pPr>
              <w:rPr>
                <w:rFonts w:asciiTheme="majorHAnsi" w:hAnsiTheme="majorHAnsi"/>
                <w:sz w:val="22"/>
                <w:szCs w:val="22"/>
              </w:rPr>
            </w:pPr>
            <w:r>
              <w:rPr>
                <w:rFonts w:asciiTheme="majorHAnsi" w:hAnsiTheme="majorHAnsi"/>
                <w:sz w:val="22"/>
                <w:szCs w:val="22"/>
              </w:rPr>
              <w:t>Michael Phillips</w:t>
            </w:r>
          </w:p>
        </w:tc>
        <w:tc>
          <w:tcPr>
            <w:tcW w:w="2480" w:type="dxa"/>
            <w:shd w:val="clear" w:color="auto" w:fill="auto"/>
          </w:tcPr>
          <w:p w14:paraId="78D9301A" w14:textId="77777777" w:rsidR="009F579F" w:rsidRPr="00AD13CA" w:rsidRDefault="009F579F" w:rsidP="00FF33BC">
            <w:pPr>
              <w:rPr>
                <w:rFonts w:asciiTheme="majorHAnsi" w:hAnsiTheme="majorHAnsi"/>
                <w:sz w:val="22"/>
                <w:szCs w:val="22"/>
              </w:rPr>
            </w:pPr>
            <w:r>
              <w:rPr>
                <w:rFonts w:asciiTheme="majorHAnsi" w:hAnsiTheme="majorHAnsi"/>
                <w:sz w:val="22"/>
                <w:szCs w:val="22"/>
              </w:rPr>
              <w:t>Precision Medicine Advisors</w:t>
            </w:r>
          </w:p>
        </w:tc>
        <w:tc>
          <w:tcPr>
            <w:tcW w:w="2502" w:type="dxa"/>
            <w:shd w:val="clear" w:color="auto" w:fill="auto"/>
          </w:tcPr>
          <w:p w14:paraId="3F173BDF" w14:textId="77777777" w:rsidR="009F579F" w:rsidRDefault="009F579F" w:rsidP="00FF33BC">
            <w:pPr>
              <w:rPr>
                <w:rFonts w:asciiTheme="majorHAnsi" w:hAnsiTheme="majorHAnsi"/>
                <w:sz w:val="22"/>
                <w:szCs w:val="22"/>
              </w:rPr>
            </w:pPr>
            <w:r>
              <w:rPr>
                <w:rFonts w:asciiTheme="majorHAnsi" w:hAnsiTheme="majorHAnsi"/>
                <w:sz w:val="22"/>
                <w:szCs w:val="22"/>
              </w:rPr>
              <w:t>Research</w:t>
            </w:r>
          </w:p>
          <w:p w14:paraId="7960BF89" w14:textId="77777777" w:rsidR="009F579F" w:rsidRDefault="009F579F" w:rsidP="00FF33BC">
            <w:pPr>
              <w:rPr>
                <w:rFonts w:asciiTheme="majorHAnsi" w:hAnsiTheme="majorHAnsi"/>
                <w:sz w:val="22"/>
                <w:szCs w:val="22"/>
              </w:rPr>
            </w:pPr>
            <w:r>
              <w:rPr>
                <w:rFonts w:asciiTheme="majorHAnsi" w:hAnsiTheme="majorHAnsi"/>
                <w:sz w:val="22"/>
                <w:szCs w:val="22"/>
              </w:rPr>
              <w:t>Genomics</w:t>
            </w:r>
          </w:p>
        </w:tc>
        <w:tc>
          <w:tcPr>
            <w:tcW w:w="2484" w:type="dxa"/>
            <w:shd w:val="clear" w:color="auto" w:fill="auto"/>
          </w:tcPr>
          <w:p w14:paraId="0FA0EFB2" w14:textId="77777777" w:rsidR="009F579F" w:rsidRDefault="009F579F" w:rsidP="00FF33BC">
            <w:pPr>
              <w:rPr>
                <w:rFonts w:asciiTheme="majorHAnsi" w:hAnsiTheme="majorHAnsi"/>
                <w:sz w:val="22"/>
                <w:szCs w:val="22"/>
              </w:rPr>
            </w:pPr>
            <w:r>
              <w:rPr>
                <w:rFonts w:asciiTheme="majorHAnsi" w:hAnsiTheme="majorHAnsi"/>
                <w:sz w:val="22"/>
                <w:szCs w:val="22"/>
              </w:rPr>
              <w:t>Scientific Advisor for PharmGKB</w:t>
            </w:r>
          </w:p>
        </w:tc>
      </w:tr>
      <w:tr w:rsidR="00FB1B91" w:rsidRPr="004A7982" w14:paraId="4BB91A2E" w14:textId="77777777" w:rsidTr="0003001D">
        <w:tc>
          <w:tcPr>
            <w:tcW w:w="2470" w:type="dxa"/>
            <w:shd w:val="clear" w:color="auto" w:fill="auto"/>
          </w:tcPr>
          <w:p w14:paraId="38C7AE3B" w14:textId="77777777" w:rsidR="00FB1B91" w:rsidRPr="00AD13CA" w:rsidRDefault="00AD13CA" w:rsidP="00FF33BC">
            <w:pPr>
              <w:rPr>
                <w:rFonts w:asciiTheme="majorHAnsi" w:hAnsiTheme="majorHAnsi"/>
                <w:sz w:val="22"/>
                <w:szCs w:val="22"/>
              </w:rPr>
            </w:pPr>
            <w:r w:rsidRPr="00AD13CA">
              <w:rPr>
                <w:rFonts w:asciiTheme="majorHAnsi" w:hAnsiTheme="majorHAnsi"/>
                <w:sz w:val="22"/>
                <w:szCs w:val="22"/>
              </w:rPr>
              <w:t>Scott A. Waldman, MD, PhD, FCP</w:t>
            </w:r>
          </w:p>
        </w:tc>
        <w:tc>
          <w:tcPr>
            <w:tcW w:w="2480" w:type="dxa"/>
            <w:shd w:val="clear" w:color="auto" w:fill="auto"/>
          </w:tcPr>
          <w:p w14:paraId="5F73EB04" w14:textId="77777777" w:rsidR="00FB1B91" w:rsidRPr="00AD13CA" w:rsidRDefault="00AD13CA" w:rsidP="00FF33BC">
            <w:pPr>
              <w:rPr>
                <w:rFonts w:asciiTheme="majorHAnsi" w:hAnsiTheme="majorHAnsi"/>
                <w:sz w:val="22"/>
                <w:szCs w:val="22"/>
              </w:rPr>
            </w:pPr>
            <w:r w:rsidRPr="00AD13CA">
              <w:rPr>
                <w:rFonts w:asciiTheme="majorHAnsi" w:hAnsiTheme="majorHAnsi"/>
                <w:sz w:val="22"/>
                <w:szCs w:val="22"/>
              </w:rPr>
              <w:t>Thomas Jefferson University</w:t>
            </w:r>
          </w:p>
        </w:tc>
        <w:tc>
          <w:tcPr>
            <w:tcW w:w="2502" w:type="dxa"/>
            <w:shd w:val="clear" w:color="auto" w:fill="auto"/>
          </w:tcPr>
          <w:p w14:paraId="7D0BF3A2" w14:textId="77777777" w:rsidR="00FB1B91" w:rsidRPr="00AD13CA" w:rsidRDefault="00AD13CA" w:rsidP="00FF33BC">
            <w:pPr>
              <w:rPr>
                <w:rFonts w:asciiTheme="majorHAnsi" w:hAnsiTheme="majorHAnsi"/>
                <w:sz w:val="22"/>
                <w:szCs w:val="22"/>
              </w:rPr>
            </w:pPr>
            <w:r>
              <w:rPr>
                <w:rFonts w:asciiTheme="majorHAnsi" w:hAnsiTheme="majorHAnsi"/>
                <w:sz w:val="22"/>
                <w:szCs w:val="22"/>
              </w:rPr>
              <w:t>Clinical Research</w:t>
            </w:r>
          </w:p>
        </w:tc>
        <w:tc>
          <w:tcPr>
            <w:tcW w:w="2484" w:type="dxa"/>
            <w:shd w:val="clear" w:color="auto" w:fill="auto"/>
          </w:tcPr>
          <w:p w14:paraId="4E8E7F5E" w14:textId="77777777" w:rsidR="00FB1B91" w:rsidRPr="00AD13CA" w:rsidRDefault="00AD13CA" w:rsidP="00FF33BC">
            <w:pPr>
              <w:rPr>
                <w:rFonts w:asciiTheme="majorHAnsi" w:hAnsiTheme="majorHAnsi"/>
                <w:sz w:val="22"/>
                <w:szCs w:val="22"/>
              </w:rPr>
            </w:pPr>
            <w:r>
              <w:rPr>
                <w:rFonts w:asciiTheme="majorHAnsi" w:hAnsiTheme="majorHAnsi"/>
                <w:sz w:val="22"/>
                <w:szCs w:val="22"/>
              </w:rPr>
              <w:t>Scientific Advisor for PharmGKB</w:t>
            </w:r>
          </w:p>
        </w:tc>
      </w:tr>
      <w:tr w:rsidR="007F7D25" w:rsidRPr="004A7982" w14:paraId="56616785" w14:textId="77777777" w:rsidTr="0003001D">
        <w:tc>
          <w:tcPr>
            <w:tcW w:w="2470" w:type="dxa"/>
            <w:shd w:val="clear" w:color="auto" w:fill="auto"/>
          </w:tcPr>
          <w:p w14:paraId="172E392B" w14:textId="77777777" w:rsidR="007F7D25" w:rsidRPr="00AD13CA" w:rsidRDefault="007F7D25" w:rsidP="00FF33BC">
            <w:pPr>
              <w:rPr>
                <w:rFonts w:asciiTheme="majorHAnsi" w:hAnsiTheme="majorHAnsi"/>
                <w:sz w:val="22"/>
                <w:szCs w:val="22"/>
              </w:rPr>
            </w:pPr>
            <w:r w:rsidRPr="001A18DC">
              <w:rPr>
                <w:rFonts w:asciiTheme="majorHAnsi" w:hAnsiTheme="majorHAnsi"/>
                <w:sz w:val="22"/>
                <w:szCs w:val="22"/>
              </w:rPr>
              <w:t>Mary V. Relling, Pharm.D.</w:t>
            </w:r>
          </w:p>
        </w:tc>
        <w:tc>
          <w:tcPr>
            <w:tcW w:w="2480" w:type="dxa"/>
            <w:shd w:val="clear" w:color="auto" w:fill="auto"/>
          </w:tcPr>
          <w:p w14:paraId="6353F405" w14:textId="77777777" w:rsidR="007F7D25" w:rsidRPr="00AD13CA" w:rsidRDefault="007F7D25" w:rsidP="00FF33BC">
            <w:pPr>
              <w:rPr>
                <w:rFonts w:asciiTheme="majorHAnsi" w:hAnsiTheme="majorHAnsi"/>
                <w:sz w:val="22"/>
                <w:szCs w:val="22"/>
              </w:rPr>
            </w:pPr>
            <w:r w:rsidRPr="001A18DC">
              <w:rPr>
                <w:rFonts w:asciiTheme="majorHAnsi" w:hAnsiTheme="majorHAnsi"/>
                <w:sz w:val="22"/>
                <w:szCs w:val="22"/>
              </w:rPr>
              <w:t>St. Jude Children’s Research Hospital</w:t>
            </w:r>
          </w:p>
        </w:tc>
        <w:tc>
          <w:tcPr>
            <w:tcW w:w="2502" w:type="dxa"/>
            <w:shd w:val="clear" w:color="auto" w:fill="auto"/>
          </w:tcPr>
          <w:p w14:paraId="26C55602" w14:textId="77777777" w:rsidR="007F7D25" w:rsidRDefault="007F7D25" w:rsidP="007F7D25">
            <w:pPr>
              <w:rPr>
                <w:rFonts w:asciiTheme="majorHAnsi" w:hAnsiTheme="majorHAnsi"/>
                <w:sz w:val="22"/>
                <w:szCs w:val="22"/>
              </w:rPr>
            </w:pPr>
            <w:r>
              <w:rPr>
                <w:rFonts w:asciiTheme="majorHAnsi" w:hAnsiTheme="majorHAnsi"/>
                <w:sz w:val="22"/>
                <w:szCs w:val="22"/>
              </w:rPr>
              <w:t>Clinical</w:t>
            </w:r>
          </w:p>
          <w:p w14:paraId="7B815DAB" w14:textId="77777777" w:rsidR="007F7D25" w:rsidRDefault="007F7D25" w:rsidP="00FF33BC">
            <w:pPr>
              <w:rPr>
                <w:rFonts w:asciiTheme="majorHAnsi" w:hAnsiTheme="majorHAnsi"/>
                <w:sz w:val="22"/>
                <w:szCs w:val="22"/>
              </w:rPr>
            </w:pPr>
            <w:r>
              <w:rPr>
                <w:rFonts w:asciiTheme="majorHAnsi" w:hAnsiTheme="majorHAnsi"/>
                <w:sz w:val="22"/>
                <w:szCs w:val="22"/>
              </w:rPr>
              <w:t>Research</w:t>
            </w:r>
          </w:p>
        </w:tc>
        <w:tc>
          <w:tcPr>
            <w:tcW w:w="2484" w:type="dxa"/>
            <w:shd w:val="clear" w:color="auto" w:fill="auto"/>
          </w:tcPr>
          <w:p w14:paraId="2CF36C3F" w14:textId="77777777" w:rsidR="007F7D25" w:rsidRPr="001A18DC" w:rsidRDefault="007F7D25" w:rsidP="007F7D25">
            <w:pPr>
              <w:rPr>
                <w:rFonts w:asciiTheme="majorHAnsi" w:hAnsiTheme="majorHAnsi"/>
                <w:sz w:val="22"/>
                <w:szCs w:val="22"/>
              </w:rPr>
            </w:pPr>
            <w:r w:rsidRPr="001A18DC">
              <w:rPr>
                <w:rFonts w:asciiTheme="majorHAnsi" w:hAnsiTheme="majorHAnsi"/>
                <w:sz w:val="22"/>
                <w:szCs w:val="22"/>
              </w:rPr>
              <w:t xml:space="preserve">CPIC </w:t>
            </w:r>
            <w:r>
              <w:rPr>
                <w:rFonts w:asciiTheme="majorHAnsi" w:hAnsiTheme="majorHAnsi"/>
                <w:sz w:val="22"/>
                <w:szCs w:val="22"/>
              </w:rPr>
              <w:t>Leader</w:t>
            </w:r>
          </w:p>
          <w:p w14:paraId="118C81EF" w14:textId="77777777" w:rsidR="007F7D25" w:rsidRDefault="007F7D25" w:rsidP="007F7D25">
            <w:pPr>
              <w:rPr>
                <w:rFonts w:asciiTheme="majorHAnsi" w:hAnsiTheme="majorHAnsi"/>
                <w:sz w:val="22"/>
                <w:szCs w:val="22"/>
              </w:rPr>
            </w:pPr>
            <w:r w:rsidRPr="001A18DC">
              <w:rPr>
                <w:rFonts w:asciiTheme="majorHAnsi" w:hAnsiTheme="majorHAnsi"/>
                <w:sz w:val="22"/>
                <w:szCs w:val="22"/>
              </w:rPr>
              <w:t>CPIC Steering Committee</w:t>
            </w:r>
            <w:r>
              <w:rPr>
                <w:rFonts w:asciiTheme="majorHAnsi" w:hAnsiTheme="majorHAnsi"/>
                <w:sz w:val="22"/>
                <w:szCs w:val="22"/>
              </w:rPr>
              <w:t xml:space="preserve"> member</w:t>
            </w:r>
          </w:p>
        </w:tc>
      </w:tr>
      <w:tr w:rsidR="0003001D" w:rsidRPr="004A7982" w14:paraId="017546AE" w14:textId="77777777" w:rsidTr="0003001D">
        <w:tc>
          <w:tcPr>
            <w:tcW w:w="2470" w:type="dxa"/>
            <w:shd w:val="clear" w:color="auto" w:fill="auto"/>
          </w:tcPr>
          <w:p w14:paraId="71CD2DE8" w14:textId="77777777" w:rsidR="0003001D" w:rsidRPr="001A18DC" w:rsidRDefault="0003001D" w:rsidP="00636095">
            <w:pPr>
              <w:rPr>
                <w:rFonts w:asciiTheme="majorHAnsi" w:hAnsiTheme="majorHAnsi"/>
                <w:sz w:val="22"/>
                <w:szCs w:val="22"/>
              </w:rPr>
            </w:pPr>
            <w:r>
              <w:rPr>
                <w:rFonts w:asciiTheme="majorHAnsi" w:hAnsiTheme="majorHAnsi"/>
                <w:sz w:val="22"/>
                <w:szCs w:val="22"/>
              </w:rPr>
              <w:t>Ellen M. McDonagh, Ph.D.</w:t>
            </w:r>
          </w:p>
        </w:tc>
        <w:tc>
          <w:tcPr>
            <w:tcW w:w="2480" w:type="dxa"/>
            <w:shd w:val="clear" w:color="auto" w:fill="auto"/>
          </w:tcPr>
          <w:p w14:paraId="67672041" w14:textId="77777777" w:rsidR="0003001D" w:rsidRPr="001A18DC" w:rsidRDefault="0003001D" w:rsidP="00636095">
            <w:pPr>
              <w:rPr>
                <w:rFonts w:asciiTheme="majorHAnsi" w:hAnsiTheme="majorHAnsi"/>
                <w:sz w:val="22"/>
                <w:szCs w:val="22"/>
              </w:rPr>
            </w:pPr>
            <w:r w:rsidRPr="001A18DC">
              <w:rPr>
                <w:rFonts w:asciiTheme="majorHAnsi" w:hAnsiTheme="majorHAnsi"/>
                <w:sz w:val="22"/>
                <w:szCs w:val="22"/>
              </w:rPr>
              <w:t>Stanford University</w:t>
            </w:r>
          </w:p>
        </w:tc>
        <w:tc>
          <w:tcPr>
            <w:tcW w:w="2502" w:type="dxa"/>
            <w:shd w:val="clear" w:color="auto" w:fill="auto"/>
          </w:tcPr>
          <w:p w14:paraId="7A4D4AEE" w14:textId="77777777" w:rsidR="0003001D" w:rsidRPr="001A18DC" w:rsidRDefault="0003001D" w:rsidP="00636095">
            <w:pPr>
              <w:rPr>
                <w:rFonts w:asciiTheme="majorHAnsi" w:hAnsiTheme="majorHAnsi"/>
                <w:sz w:val="22"/>
                <w:szCs w:val="22"/>
              </w:rPr>
            </w:pPr>
            <w:r>
              <w:rPr>
                <w:rFonts w:asciiTheme="majorHAnsi" w:hAnsiTheme="majorHAnsi"/>
                <w:sz w:val="22"/>
                <w:szCs w:val="22"/>
              </w:rPr>
              <w:t>Research</w:t>
            </w:r>
          </w:p>
        </w:tc>
        <w:tc>
          <w:tcPr>
            <w:tcW w:w="2484" w:type="dxa"/>
            <w:shd w:val="clear" w:color="auto" w:fill="auto"/>
          </w:tcPr>
          <w:p w14:paraId="02408D31" w14:textId="77777777" w:rsidR="0003001D" w:rsidRPr="001A18DC" w:rsidRDefault="0003001D" w:rsidP="00636095">
            <w:pPr>
              <w:rPr>
                <w:rFonts w:asciiTheme="majorHAnsi" w:hAnsiTheme="majorHAnsi"/>
                <w:sz w:val="22"/>
                <w:szCs w:val="22"/>
              </w:rPr>
            </w:pPr>
            <w:r>
              <w:rPr>
                <w:rFonts w:asciiTheme="majorHAnsi" w:hAnsiTheme="majorHAnsi"/>
                <w:sz w:val="22"/>
                <w:szCs w:val="22"/>
              </w:rPr>
              <w:t>Scientific Curator</w:t>
            </w:r>
          </w:p>
        </w:tc>
      </w:tr>
      <w:tr w:rsidR="0003001D" w:rsidRPr="004A7982" w14:paraId="4516B559" w14:textId="77777777" w:rsidTr="0003001D">
        <w:tc>
          <w:tcPr>
            <w:tcW w:w="2470" w:type="dxa"/>
            <w:shd w:val="clear" w:color="auto" w:fill="auto"/>
          </w:tcPr>
          <w:p w14:paraId="0B252555" w14:textId="77777777" w:rsidR="0003001D" w:rsidRPr="001A18DC" w:rsidRDefault="0003001D" w:rsidP="00636095">
            <w:pPr>
              <w:rPr>
                <w:rFonts w:asciiTheme="majorHAnsi" w:hAnsiTheme="majorHAnsi"/>
                <w:sz w:val="22"/>
                <w:szCs w:val="22"/>
              </w:rPr>
            </w:pPr>
            <w:r>
              <w:rPr>
                <w:rFonts w:asciiTheme="majorHAnsi" w:hAnsiTheme="majorHAnsi"/>
                <w:sz w:val="22"/>
                <w:szCs w:val="22"/>
              </w:rPr>
              <w:t>Li Gong, Ph.D.</w:t>
            </w:r>
          </w:p>
        </w:tc>
        <w:tc>
          <w:tcPr>
            <w:tcW w:w="2480" w:type="dxa"/>
            <w:shd w:val="clear" w:color="auto" w:fill="auto"/>
          </w:tcPr>
          <w:p w14:paraId="2B15E71F" w14:textId="77777777" w:rsidR="0003001D" w:rsidRPr="001A18DC" w:rsidRDefault="0003001D" w:rsidP="00636095">
            <w:pPr>
              <w:rPr>
                <w:rFonts w:asciiTheme="majorHAnsi" w:hAnsiTheme="majorHAnsi"/>
                <w:sz w:val="22"/>
                <w:szCs w:val="22"/>
              </w:rPr>
            </w:pPr>
            <w:r w:rsidRPr="001A18DC">
              <w:rPr>
                <w:rFonts w:asciiTheme="majorHAnsi" w:hAnsiTheme="majorHAnsi"/>
                <w:sz w:val="22"/>
                <w:szCs w:val="22"/>
              </w:rPr>
              <w:t>Stanford University</w:t>
            </w:r>
          </w:p>
        </w:tc>
        <w:tc>
          <w:tcPr>
            <w:tcW w:w="2502" w:type="dxa"/>
            <w:shd w:val="clear" w:color="auto" w:fill="auto"/>
          </w:tcPr>
          <w:p w14:paraId="02504E4A" w14:textId="77777777" w:rsidR="0003001D" w:rsidRPr="001A18DC" w:rsidRDefault="0003001D" w:rsidP="00636095">
            <w:pPr>
              <w:rPr>
                <w:rFonts w:asciiTheme="majorHAnsi" w:hAnsiTheme="majorHAnsi"/>
                <w:sz w:val="22"/>
                <w:szCs w:val="22"/>
              </w:rPr>
            </w:pPr>
            <w:r>
              <w:rPr>
                <w:rFonts w:asciiTheme="majorHAnsi" w:hAnsiTheme="majorHAnsi"/>
                <w:sz w:val="22"/>
                <w:szCs w:val="22"/>
              </w:rPr>
              <w:t>Research</w:t>
            </w:r>
          </w:p>
        </w:tc>
        <w:tc>
          <w:tcPr>
            <w:tcW w:w="2484" w:type="dxa"/>
            <w:shd w:val="clear" w:color="auto" w:fill="auto"/>
          </w:tcPr>
          <w:p w14:paraId="5DD81126" w14:textId="77777777" w:rsidR="0003001D" w:rsidRPr="001A18DC" w:rsidRDefault="0003001D" w:rsidP="00636095">
            <w:pPr>
              <w:rPr>
                <w:rFonts w:asciiTheme="majorHAnsi" w:hAnsiTheme="majorHAnsi"/>
                <w:sz w:val="22"/>
                <w:szCs w:val="22"/>
              </w:rPr>
            </w:pPr>
            <w:r>
              <w:rPr>
                <w:rFonts w:asciiTheme="majorHAnsi" w:hAnsiTheme="majorHAnsi"/>
                <w:sz w:val="22"/>
                <w:szCs w:val="22"/>
              </w:rPr>
              <w:t>Senior Scientific Curator</w:t>
            </w:r>
          </w:p>
        </w:tc>
      </w:tr>
      <w:tr w:rsidR="0003001D" w:rsidRPr="004A7982" w14:paraId="6972D828" w14:textId="77777777" w:rsidTr="0003001D">
        <w:tc>
          <w:tcPr>
            <w:tcW w:w="2470" w:type="dxa"/>
            <w:shd w:val="clear" w:color="auto" w:fill="auto"/>
          </w:tcPr>
          <w:p w14:paraId="1338004F" w14:textId="77777777" w:rsidR="0003001D" w:rsidRPr="001A18DC" w:rsidRDefault="0003001D" w:rsidP="00636095">
            <w:pPr>
              <w:rPr>
                <w:rFonts w:asciiTheme="majorHAnsi" w:hAnsiTheme="majorHAnsi"/>
                <w:sz w:val="22"/>
                <w:szCs w:val="22"/>
              </w:rPr>
            </w:pPr>
            <w:r>
              <w:rPr>
                <w:rFonts w:asciiTheme="majorHAnsi" w:hAnsiTheme="majorHAnsi"/>
                <w:sz w:val="22"/>
                <w:szCs w:val="22"/>
              </w:rPr>
              <w:lastRenderedPageBreak/>
              <w:t>Katrin Sangkuhl, Ph.D.</w:t>
            </w:r>
          </w:p>
        </w:tc>
        <w:tc>
          <w:tcPr>
            <w:tcW w:w="2480" w:type="dxa"/>
            <w:shd w:val="clear" w:color="auto" w:fill="auto"/>
          </w:tcPr>
          <w:p w14:paraId="66709C88" w14:textId="77777777" w:rsidR="0003001D" w:rsidRPr="001A18DC" w:rsidRDefault="0003001D" w:rsidP="00636095">
            <w:pPr>
              <w:rPr>
                <w:rFonts w:asciiTheme="majorHAnsi" w:hAnsiTheme="majorHAnsi"/>
                <w:sz w:val="22"/>
                <w:szCs w:val="22"/>
              </w:rPr>
            </w:pPr>
            <w:r w:rsidRPr="001A18DC">
              <w:rPr>
                <w:rFonts w:asciiTheme="majorHAnsi" w:hAnsiTheme="majorHAnsi"/>
                <w:sz w:val="22"/>
                <w:szCs w:val="22"/>
              </w:rPr>
              <w:t>Stanford University</w:t>
            </w:r>
          </w:p>
        </w:tc>
        <w:tc>
          <w:tcPr>
            <w:tcW w:w="2502" w:type="dxa"/>
            <w:shd w:val="clear" w:color="auto" w:fill="auto"/>
          </w:tcPr>
          <w:p w14:paraId="0931F257" w14:textId="77777777" w:rsidR="0003001D" w:rsidRPr="001A18DC" w:rsidRDefault="0003001D" w:rsidP="00636095">
            <w:pPr>
              <w:rPr>
                <w:rFonts w:asciiTheme="majorHAnsi" w:hAnsiTheme="majorHAnsi"/>
                <w:sz w:val="22"/>
                <w:szCs w:val="22"/>
              </w:rPr>
            </w:pPr>
            <w:r>
              <w:rPr>
                <w:rFonts w:asciiTheme="majorHAnsi" w:hAnsiTheme="majorHAnsi"/>
                <w:sz w:val="22"/>
                <w:szCs w:val="22"/>
              </w:rPr>
              <w:t>Research</w:t>
            </w:r>
          </w:p>
        </w:tc>
        <w:tc>
          <w:tcPr>
            <w:tcW w:w="2484" w:type="dxa"/>
            <w:shd w:val="clear" w:color="auto" w:fill="auto"/>
          </w:tcPr>
          <w:p w14:paraId="5C2A9A6B" w14:textId="77777777" w:rsidR="0003001D" w:rsidRPr="001A18DC" w:rsidRDefault="0003001D" w:rsidP="00636095">
            <w:pPr>
              <w:rPr>
                <w:rFonts w:asciiTheme="majorHAnsi" w:hAnsiTheme="majorHAnsi"/>
                <w:sz w:val="22"/>
                <w:szCs w:val="22"/>
              </w:rPr>
            </w:pPr>
            <w:r>
              <w:rPr>
                <w:rFonts w:asciiTheme="majorHAnsi" w:hAnsiTheme="majorHAnsi"/>
                <w:sz w:val="22"/>
                <w:szCs w:val="22"/>
              </w:rPr>
              <w:t>Senior Scientific Curator</w:t>
            </w:r>
          </w:p>
        </w:tc>
      </w:tr>
      <w:tr w:rsidR="0003001D" w:rsidRPr="004A7982" w14:paraId="0B3DD8F5" w14:textId="77777777" w:rsidTr="0003001D">
        <w:tc>
          <w:tcPr>
            <w:tcW w:w="2470" w:type="dxa"/>
            <w:shd w:val="clear" w:color="auto" w:fill="auto"/>
          </w:tcPr>
          <w:p w14:paraId="75DB55D6" w14:textId="77777777" w:rsidR="0003001D" w:rsidRPr="001A18DC" w:rsidRDefault="0003001D" w:rsidP="00636095">
            <w:pPr>
              <w:rPr>
                <w:rFonts w:asciiTheme="majorHAnsi" w:hAnsiTheme="majorHAnsi"/>
                <w:sz w:val="22"/>
                <w:szCs w:val="22"/>
              </w:rPr>
            </w:pPr>
            <w:r>
              <w:rPr>
                <w:rFonts w:asciiTheme="majorHAnsi" w:hAnsiTheme="majorHAnsi"/>
                <w:sz w:val="22"/>
                <w:szCs w:val="22"/>
              </w:rPr>
              <w:t>Julia Barbarino, MSc</w:t>
            </w:r>
          </w:p>
        </w:tc>
        <w:tc>
          <w:tcPr>
            <w:tcW w:w="2480" w:type="dxa"/>
            <w:shd w:val="clear" w:color="auto" w:fill="auto"/>
          </w:tcPr>
          <w:p w14:paraId="7A78F4BD" w14:textId="77777777" w:rsidR="0003001D" w:rsidRPr="001A18DC" w:rsidRDefault="0003001D" w:rsidP="00636095">
            <w:pPr>
              <w:rPr>
                <w:rFonts w:asciiTheme="majorHAnsi" w:hAnsiTheme="majorHAnsi"/>
                <w:sz w:val="22"/>
                <w:szCs w:val="22"/>
              </w:rPr>
            </w:pPr>
            <w:r w:rsidRPr="001A18DC">
              <w:rPr>
                <w:rFonts w:asciiTheme="majorHAnsi" w:hAnsiTheme="majorHAnsi"/>
                <w:sz w:val="22"/>
                <w:szCs w:val="22"/>
              </w:rPr>
              <w:t>Stanford University</w:t>
            </w:r>
          </w:p>
        </w:tc>
        <w:tc>
          <w:tcPr>
            <w:tcW w:w="2502" w:type="dxa"/>
            <w:shd w:val="clear" w:color="auto" w:fill="auto"/>
          </w:tcPr>
          <w:p w14:paraId="0D51FC8F" w14:textId="77777777" w:rsidR="0003001D" w:rsidRPr="001A18DC" w:rsidRDefault="0003001D" w:rsidP="00636095">
            <w:pPr>
              <w:rPr>
                <w:rFonts w:asciiTheme="majorHAnsi" w:hAnsiTheme="majorHAnsi"/>
                <w:sz w:val="22"/>
                <w:szCs w:val="22"/>
              </w:rPr>
            </w:pPr>
            <w:r>
              <w:rPr>
                <w:rFonts w:asciiTheme="majorHAnsi" w:hAnsiTheme="majorHAnsi"/>
                <w:sz w:val="22"/>
                <w:szCs w:val="22"/>
              </w:rPr>
              <w:t>Research</w:t>
            </w:r>
          </w:p>
        </w:tc>
        <w:tc>
          <w:tcPr>
            <w:tcW w:w="2484" w:type="dxa"/>
            <w:shd w:val="clear" w:color="auto" w:fill="auto"/>
          </w:tcPr>
          <w:p w14:paraId="1D52C435" w14:textId="77777777" w:rsidR="0003001D" w:rsidRPr="001A18DC" w:rsidRDefault="0003001D" w:rsidP="00636095">
            <w:pPr>
              <w:rPr>
                <w:rFonts w:asciiTheme="majorHAnsi" w:hAnsiTheme="majorHAnsi"/>
                <w:sz w:val="22"/>
                <w:szCs w:val="22"/>
              </w:rPr>
            </w:pPr>
            <w:r>
              <w:rPr>
                <w:rFonts w:asciiTheme="majorHAnsi" w:hAnsiTheme="majorHAnsi"/>
                <w:sz w:val="22"/>
                <w:szCs w:val="22"/>
              </w:rPr>
              <w:t>Scientific Curator</w:t>
            </w:r>
          </w:p>
        </w:tc>
      </w:tr>
      <w:tr w:rsidR="0003001D" w:rsidRPr="004A7982" w14:paraId="541696B7" w14:textId="77777777" w:rsidTr="0003001D">
        <w:tc>
          <w:tcPr>
            <w:tcW w:w="2470" w:type="dxa"/>
            <w:shd w:val="clear" w:color="auto" w:fill="auto"/>
          </w:tcPr>
          <w:p w14:paraId="5EB8EF37" w14:textId="77777777" w:rsidR="0003001D" w:rsidRPr="00AD13CA" w:rsidRDefault="0003001D" w:rsidP="00FF33BC">
            <w:pPr>
              <w:rPr>
                <w:rFonts w:asciiTheme="majorHAnsi" w:hAnsiTheme="majorHAnsi"/>
                <w:sz w:val="22"/>
                <w:szCs w:val="22"/>
              </w:rPr>
            </w:pPr>
            <w:r>
              <w:rPr>
                <w:rFonts w:asciiTheme="majorHAnsi" w:hAnsiTheme="majorHAnsi"/>
                <w:sz w:val="22"/>
                <w:szCs w:val="22"/>
              </w:rPr>
              <w:t>Maria Alvarellos, M.S.</w:t>
            </w:r>
          </w:p>
        </w:tc>
        <w:tc>
          <w:tcPr>
            <w:tcW w:w="2480" w:type="dxa"/>
            <w:shd w:val="clear" w:color="auto" w:fill="auto"/>
          </w:tcPr>
          <w:p w14:paraId="77BE045E" w14:textId="77777777" w:rsidR="0003001D" w:rsidRPr="001A18DC" w:rsidRDefault="0003001D" w:rsidP="00636095">
            <w:pPr>
              <w:rPr>
                <w:rFonts w:asciiTheme="majorHAnsi" w:hAnsiTheme="majorHAnsi"/>
                <w:sz w:val="22"/>
                <w:szCs w:val="22"/>
              </w:rPr>
            </w:pPr>
            <w:r w:rsidRPr="001A18DC">
              <w:rPr>
                <w:rFonts w:asciiTheme="majorHAnsi" w:hAnsiTheme="majorHAnsi"/>
                <w:sz w:val="22"/>
                <w:szCs w:val="22"/>
              </w:rPr>
              <w:t>Stanford University</w:t>
            </w:r>
          </w:p>
        </w:tc>
        <w:tc>
          <w:tcPr>
            <w:tcW w:w="2502" w:type="dxa"/>
            <w:shd w:val="clear" w:color="auto" w:fill="auto"/>
          </w:tcPr>
          <w:p w14:paraId="4FBA7FDC" w14:textId="77777777" w:rsidR="0003001D" w:rsidRPr="001A18DC" w:rsidRDefault="0003001D" w:rsidP="00636095">
            <w:pPr>
              <w:rPr>
                <w:rFonts w:asciiTheme="majorHAnsi" w:hAnsiTheme="majorHAnsi"/>
                <w:sz w:val="22"/>
                <w:szCs w:val="22"/>
              </w:rPr>
            </w:pPr>
            <w:r>
              <w:rPr>
                <w:rFonts w:asciiTheme="majorHAnsi" w:hAnsiTheme="majorHAnsi"/>
                <w:sz w:val="22"/>
                <w:szCs w:val="22"/>
              </w:rPr>
              <w:t>Research</w:t>
            </w:r>
          </w:p>
        </w:tc>
        <w:tc>
          <w:tcPr>
            <w:tcW w:w="2484" w:type="dxa"/>
            <w:shd w:val="clear" w:color="auto" w:fill="auto"/>
          </w:tcPr>
          <w:p w14:paraId="40C8028C" w14:textId="77777777" w:rsidR="0003001D" w:rsidRPr="001A18DC" w:rsidRDefault="0003001D" w:rsidP="00636095">
            <w:pPr>
              <w:rPr>
                <w:rFonts w:asciiTheme="majorHAnsi" w:hAnsiTheme="majorHAnsi"/>
                <w:sz w:val="22"/>
                <w:szCs w:val="22"/>
              </w:rPr>
            </w:pPr>
            <w:r>
              <w:rPr>
                <w:rFonts w:asciiTheme="majorHAnsi" w:hAnsiTheme="majorHAnsi"/>
                <w:sz w:val="22"/>
                <w:szCs w:val="22"/>
              </w:rPr>
              <w:t>Scientific Curator</w:t>
            </w:r>
          </w:p>
        </w:tc>
      </w:tr>
      <w:tr w:rsidR="0003001D" w:rsidRPr="004A7982" w14:paraId="7C2AB7E4" w14:textId="77777777" w:rsidTr="0003001D">
        <w:tc>
          <w:tcPr>
            <w:tcW w:w="2470" w:type="dxa"/>
            <w:shd w:val="clear" w:color="auto" w:fill="auto"/>
          </w:tcPr>
          <w:p w14:paraId="01A0CCDE" w14:textId="77777777" w:rsidR="0003001D" w:rsidRPr="004A7982" w:rsidRDefault="0003001D" w:rsidP="00FF33BC">
            <w:pPr>
              <w:rPr>
                <w:rFonts w:asciiTheme="majorHAnsi" w:hAnsiTheme="majorHAnsi"/>
                <w:b/>
                <w:sz w:val="22"/>
                <w:szCs w:val="22"/>
              </w:rPr>
            </w:pPr>
          </w:p>
        </w:tc>
        <w:tc>
          <w:tcPr>
            <w:tcW w:w="2480" w:type="dxa"/>
            <w:shd w:val="clear" w:color="auto" w:fill="auto"/>
          </w:tcPr>
          <w:p w14:paraId="10E000B9" w14:textId="77777777" w:rsidR="0003001D" w:rsidRPr="004A7982" w:rsidRDefault="0003001D" w:rsidP="00FF33BC">
            <w:pPr>
              <w:rPr>
                <w:rFonts w:asciiTheme="majorHAnsi" w:hAnsiTheme="majorHAnsi"/>
                <w:b/>
                <w:sz w:val="22"/>
                <w:szCs w:val="22"/>
              </w:rPr>
            </w:pPr>
          </w:p>
        </w:tc>
        <w:tc>
          <w:tcPr>
            <w:tcW w:w="2502" w:type="dxa"/>
            <w:shd w:val="clear" w:color="auto" w:fill="auto"/>
          </w:tcPr>
          <w:p w14:paraId="7C8862CA" w14:textId="77777777" w:rsidR="0003001D" w:rsidRPr="004A7982" w:rsidRDefault="0003001D" w:rsidP="00FF33BC">
            <w:pPr>
              <w:rPr>
                <w:rFonts w:asciiTheme="majorHAnsi" w:hAnsiTheme="majorHAnsi"/>
                <w:b/>
                <w:sz w:val="22"/>
                <w:szCs w:val="22"/>
              </w:rPr>
            </w:pPr>
          </w:p>
        </w:tc>
        <w:tc>
          <w:tcPr>
            <w:tcW w:w="2484" w:type="dxa"/>
            <w:shd w:val="clear" w:color="auto" w:fill="auto"/>
          </w:tcPr>
          <w:p w14:paraId="1742E3D2" w14:textId="77777777" w:rsidR="0003001D" w:rsidRPr="004A7982" w:rsidRDefault="0003001D" w:rsidP="00FF33BC">
            <w:pPr>
              <w:rPr>
                <w:rFonts w:asciiTheme="majorHAnsi" w:hAnsiTheme="majorHAnsi"/>
                <w:b/>
                <w:sz w:val="22"/>
                <w:szCs w:val="22"/>
              </w:rPr>
            </w:pPr>
          </w:p>
        </w:tc>
      </w:tr>
    </w:tbl>
    <w:p w14:paraId="0DDDA669" w14:textId="77777777" w:rsidR="00FB1B91" w:rsidRPr="004A7982" w:rsidRDefault="00FB1B91" w:rsidP="00FF33BC">
      <w:pPr>
        <w:ind w:left="360"/>
        <w:rPr>
          <w:rFonts w:asciiTheme="majorHAnsi" w:hAnsiTheme="majorHAnsi"/>
          <w:b/>
          <w:sz w:val="22"/>
          <w:szCs w:val="22"/>
        </w:rPr>
      </w:pPr>
    </w:p>
    <w:p w14:paraId="0B45B1EF" w14:textId="77777777" w:rsidR="008731E7" w:rsidRDefault="008731E7" w:rsidP="008731E7">
      <w:pPr>
        <w:ind w:left="360"/>
        <w:rPr>
          <w:rFonts w:asciiTheme="majorHAnsi" w:hAnsiTheme="majorHAnsi"/>
          <w:sz w:val="22"/>
          <w:szCs w:val="22"/>
        </w:rPr>
      </w:pPr>
      <w:r>
        <w:rPr>
          <w:rFonts w:asciiTheme="majorHAnsi" w:hAnsiTheme="majorHAnsi"/>
          <w:sz w:val="22"/>
          <w:szCs w:val="22"/>
        </w:rPr>
        <w:t xml:space="preserve">Listed above are PharmGKB leadership, PharmGKB scientific advisors and PharmGKB curators that </w:t>
      </w:r>
      <w:r w:rsidR="00BC69E9">
        <w:rPr>
          <w:rFonts w:asciiTheme="majorHAnsi" w:hAnsiTheme="majorHAnsi"/>
          <w:sz w:val="22"/>
          <w:szCs w:val="22"/>
        </w:rPr>
        <w:t>read the literature and use manual c</w:t>
      </w:r>
      <w:r w:rsidR="00BC69E9" w:rsidRPr="00BC69E9">
        <w:rPr>
          <w:rFonts w:asciiTheme="majorHAnsi" w:hAnsiTheme="majorHAnsi"/>
          <w:sz w:val="22"/>
          <w:szCs w:val="22"/>
        </w:rPr>
        <w:t>uration to extract gene-drug-disease relationships from the pharmacogenetic literature</w:t>
      </w:r>
      <w:r w:rsidR="00BC69E9">
        <w:rPr>
          <w:rFonts w:asciiTheme="majorHAnsi" w:hAnsiTheme="majorHAnsi"/>
          <w:sz w:val="22"/>
          <w:szCs w:val="22"/>
        </w:rPr>
        <w:t xml:space="preserve">. </w:t>
      </w:r>
      <w:r w:rsidR="009F579F" w:rsidRPr="009F579F">
        <w:rPr>
          <w:rFonts w:asciiTheme="majorHAnsi" w:hAnsiTheme="majorHAnsi"/>
          <w:b/>
          <w:sz w:val="22"/>
          <w:szCs w:val="22"/>
        </w:rPr>
        <w:t>Most importantly</w:t>
      </w:r>
      <w:r w:rsidR="00BC69E9" w:rsidRPr="009F579F">
        <w:rPr>
          <w:rFonts w:asciiTheme="majorHAnsi" w:hAnsiTheme="majorHAnsi"/>
          <w:b/>
          <w:sz w:val="22"/>
          <w:szCs w:val="22"/>
        </w:rPr>
        <w:t xml:space="preserve">, our summarized pharmacogenomics knowledge (eg. drug-centered pathways, VIP gene summaries, drug dosing </w:t>
      </w:r>
      <w:r w:rsidRPr="009F579F">
        <w:rPr>
          <w:rFonts w:asciiTheme="majorHAnsi" w:hAnsiTheme="majorHAnsi"/>
          <w:b/>
          <w:sz w:val="22"/>
          <w:szCs w:val="22"/>
        </w:rPr>
        <w:t>guidelines</w:t>
      </w:r>
      <w:r w:rsidR="00BC69E9" w:rsidRPr="009F579F">
        <w:rPr>
          <w:rFonts w:asciiTheme="majorHAnsi" w:hAnsiTheme="majorHAnsi"/>
          <w:b/>
          <w:sz w:val="22"/>
          <w:szCs w:val="22"/>
        </w:rPr>
        <w:t>)</w:t>
      </w:r>
      <w:r w:rsidRPr="009F579F">
        <w:rPr>
          <w:rFonts w:asciiTheme="majorHAnsi" w:hAnsiTheme="majorHAnsi"/>
          <w:b/>
          <w:sz w:val="22"/>
          <w:szCs w:val="22"/>
        </w:rPr>
        <w:t xml:space="preserve"> </w:t>
      </w:r>
      <w:r w:rsidR="00BC69E9" w:rsidRPr="009F579F">
        <w:rPr>
          <w:rFonts w:asciiTheme="majorHAnsi" w:hAnsiTheme="majorHAnsi"/>
          <w:b/>
          <w:sz w:val="22"/>
          <w:szCs w:val="22"/>
        </w:rPr>
        <w:t>are the results of collaboration with many experts in the fields.</w:t>
      </w:r>
      <w:r w:rsidR="00BC69E9">
        <w:rPr>
          <w:rFonts w:asciiTheme="majorHAnsi" w:hAnsiTheme="majorHAnsi"/>
          <w:sz w:val="22"/>
          <w:szCs w:val="22"/>
        </w:rPr>
        <w:t xml:space="preserve"> They are also published in leading pharmacogenomics journals and undergo</w:t>
      </w:r>
      <w:r w:rsidR="00BC69E9" w:rsidRPr="00BC69E9">
        <w:rPr>
          <w:rFonts w:asciiTheme="majorHAnsi" w:hAnsiTheme="majorHAnsi"/>
          <w:sz w:val="22"/>
          <w:szCs w:val="22"/>
        </w:rPr>
        <w:t xml:space="preserve"> typical external scientific peer-review </w:t>
      </w:r>
      <w:r w:rsidR="00BC69E9">
        <w:rPr>
          <w:rFonts w:asciiTheme="majorHAnsi" w:hAnsiTheme="majorHAnsi"/>
          <w:sz w:val="22"/>
          <w:szCs w:val="22"/>
        </w:rPr>
        <w:t xml:space="preserve">process </w:t>
      </w:r>
      <w:r w:rsidR="00BC69E9" w:rsidRPr="00BC69E9">
        <w:rPr>
          <w:rFonts w:asciiTheme="majorHAnsi" w:hAnsiTheme="majorHAnsi"/>
          <w:sz w:val="22"/>
          <w:szCs w:val="22"/>
        </w:rPr>
        <w:t xml:space="preserve">by the journal prior to publication. </w:t>
      </w:r>
    </w:p>
    <w:p w14:paraId="0BC7E29D" w14:textId="77777777" w:rsidR="00CF2946" w:rsidRDefault="00CF2946" w:rsidP="008731E7">
      <w:pPr>
        <w:ind w:left="360"/>
        <w:rPr>
          <w:rFonts w:asciiTheme="majorHAnsi" w:hAnsiTheme="majorHAnsi"/>
          <w:sz w:val="22"/>
          <w:szCs w:val="22"/>
        </w:rPr>
      </w:pPr>
    </w:p>
    <w:p w14:paraId="03C52680" w14:textId="77777777" w:rsidR="001712AC" w:rsidRDefault="00CF2946" w:rsidP="001712AC">
      <w:pPr>
        <w:ind w:left="360"/>
        <w:rPr>
          <w:rFonts w:asciiTheme="majorHAnsi" w:hAnsiTheme="majorHAnsi"/>
          <w:sz w:val="22"/>
          <w:szCs w:val="22"/>
        </w:rPr>
      </w:pPr>
      <w:r>
        <w:rPr>
          <w:rFonts w:asciiTheme="majorHAnsi" w:hAnsiTheme="majorHAnsi"/>
          <w:b/>
          <w:sz w:val="22"/>
          <w:szCs w:val="22"/>
        </w:rPr>
        <w:t xml:space="preserve">Management of Conflicts of Interest: </w:t>
      </w:r>
      <w:r w:rsidRPr="00551D41">
        <w:rPr>
          <w:rFonts w:asciiTheme="majorHAnsi" w:hAnsiTheme="majorHAnsi"/>
          <w:sz w:val="22"/>
          <w:szCs w:val="22"/>
        </w:rPr>
        <w:t>All authors declare all interests and activities potentially resulting in conflict of interest (COI)</w:t>
      </w:r>
      <w:r>
        <w:rPr>
          <w:rFonts w:asciiTheme="majorHAnsi" w:hAnsiTheme="majorHAnsi"/>
          <w:sz w:val="22"/>
          <w:szCs w:val="22"/>
        </w:rPr>
        <w:t xml:space="preserve"> before publication of the manuscript</w:t>
      </w:r>
      <w:r w:rsidR="00A401B3">
        <w:rPr>
          <w:rFonts w:asciiTheme="majorHAnsi" w:hAnsiTheme="majorHAnsi"/>
          <w:sz w:val="22"/>
          <w:szCs w:val="22"/>
        </w:rPr>
        <w:t>. Conflicts include</w:t>
      </w:r>
      <w:r w:rsidR="00A401B3" w:rsidRPr="00551D41">
        <w:rPr>
          <w:rFonts w:asciiTheme="majorHAnsi" w:hAnsiTheme="majorHAnsi"/>
          <w:sz w:val="22"/>
          <w:szCs w:val="22"/>
        </w:rPr>
        <w:t xml:space="preserve"> NIH funding, that could be interpreted to indicate that authors are “advocates” of the enclosed recommendations, as well as any sources of revenue from </w:t>
      </w:r>
      <w:r w:rsidR="00A401B3">
        <w:rPr>
          <w:rFonts w:asciiTheme="majorHAnsi" w:hAnsiTheme="majorHAnsi"/>
          <w:sz w:val="22"/>
          <w:szCs w:val="22"/>
        </w:rPr>
        <w:t>patents, stock ownership, etc.</w:t>
      </w:r>
      <w:r w:rsidR="00A401B3" w:rsidRPr="00A401B3">
        <w:t xml:space="preserve"> </w:t>
      </w:r>
      <w:r w:rsidR="00A401B3" w:rsidRPr="00A401B3">
        <w:rPr>
          <w:rFonts w:asciiTheme="majorHAnsi" w:hAnsiTheme="majorHAnsi"/>
          <w:sz w:val="22"/>
          <w:szCs w:val="22"/>
        </w:rPr>
        <w:t xml:space="preserve">All COIs are reported in the </w:t>
      </w:r>
      <w:r w:rsidR="00254309">
        <w:rPr>
          <w:rFonts w:asciiTheme="majorHAnsi" w:hAnsiTheme="majorHAnsi"/>
          <w:sz w:val="22"/>
          <w:szCs w:val="22"/>
        </w:rPr>
        <w:t xml:space="preserve">PharmGKB and </w:t>
      </w:r>
      <w:r w:rsidR="001337C7">
        <w:rPr>
          <w:rFonts w:asciiTheme="majorHAnsi" w:hAnsiTheme="majorHAnsi"/>
          <w:sz w:val="22"/>
          <w:szCs w:val="22"/>
        </w:rPr>
        <w:t xml:space="preserve">CPIC </w:t>
      </w:r>
      <w:r w:rsidR="00A401B3" w:rsidRPr="00A401B3">
        <w:rPr>
          <w:rFonts w:asciiTheme="majorHAnsi" w:hAnsiTheme="majorHAnsi"/>
          <w:sz w:val="22"/>
          <w:szCs w:val="22"/>
        </w:rPr>
        <w:t>guideline manuscript</w:t>
      </w:r>
      <w:r w:rsidR="00254309">
        <w:rPr>
          <w:rFonts w:asciiTheme="majorHAnsi" w:hAnsiTheme="majorHAnsi"/>
          <w:sz w:val="22"/>
          <w:szCs w:val="22"/>
        </w:rPr>
        <w:t>s</w:t>
      </w:r>
      <w:r w:rsidR="00A401B3" w:rsidRPr="00A401B3">
        <w:rPr>
          <w:rFonts w:asciiTheme="majorHAnsi" w:hAnsiTheme="majorHAnsi"/>
          <w:sz w:val="22"/>
          <w:szCs w:val="22"/>
        </w:rPr>
        <w:t>.</w:t>
      </w:r>
      <w:r w:rsidR="00254309">
        <w:rPr>
          <w:rFonts w:asciiTheme="majorHAnsi" w:hAnsiTheme="majorHAnsi"/>
          <w:sz w:val="22"/>
          <w:szCs w:val="22"/>
        </w:rPr>
        <w:t xml:space="preserve"> </w:t>
      </w:r>
      <w:r w:rsidR="00254309" w:rsidRPr="00551D41">
        <w:rPr>
          <w:rFonts w:asciiTheme="majorHAnsi" w:hAnsiTheme="majorHAnsi"/>
          <w:sz w:val="22"/>
          <w:szCs w:val="22"/>
        </w:rPr>
        <w:t xml:space="preserve">Each author with an established or possible COI should explain how their relationship(s) could influence the </w:t>
      </w:r>
      <w:r w:rsidR="00254309">
        <w:rPr>
          <w:rFonts w:asciiTheme="majorHAnsi" w:hAnsiTheme="majorHAnsi"/>
          <w:sz w:val="22"/>
          <w:szCs w:val="22"/>
        </w:rPr>
        <w:t>Ph</w:t>
      </w:r>
      <w:r w:rsidR="002F550B">
        <w:rPr>
          <w:rFonts w:asciiTheme="majorHAnsi" w:hAnsiTheme="majorHAnsi"/>
          <w:sz w:val="22"/>
          <w:szCs w:val="22"/>
        </w:rPr>
        <w:t>armGKB annotation manuscripts,</w:t>
      </w:r>
      <w:r w:rsidR="00254309">
        <w:rPr>
          <w:rFonts w:asciiTheme="majorHAnsi" w:hAnsiTheme="majorHAnsi"/>
          <w:sz w:val="22"/>
          <w:szCs w:val="22"/>
        </w:rPr>
        <w:t xml:space="preserve"> </w:t>
      </w:r>
      <w:r w:rsidR="00254309" w:rsidRPr="00551D41">
        <w:rPr>
          <w:rFonts w:asciiTheme="majorHAnsi" w:hAnsiTheme="majorHAnsi"/>
          <w:sz w:val="22"/>
          <w:szCs w:val="22"/>
        </w:rPr>
        <w:t>guideline development process or specific recommendations.</w:t>
      </w:r>
      <w:r w:rsidR="002F550B">
        <w:rPr>
          <w:rFonts w:asciiTheme="majorHAnsi" w:hAnsiTheme="majorHAnsi"/>
          <w:sz w:val="22"/>
          <w:szCs w:val="22"/>
        </w:rPr>
        <w:t xml:space="preserve"> </w:t>
      </w:r>
      <w:r w:rsidR="002F550B" w:rsidRPr="00551D41">
        <w:rPr>
          <w:rFonts w:asciiTheme="majorHAnsi" w:hAnsiTheme="majorHAnsi"/>
          <w:sz w:val="22"/>
          <w:szCs w:val="22"/>
        </w:rPr>
        <w:t xml:space="preserve">Before submission for publication, each </w:t>
      </w:r>
      <w:r w:rsidR="002F550B">
        <w:rPr>
          <w:rFonts w:asciiTheme="majorHAnsi" w:hAnsiTheme="majorHAnsi"/>
          <w:sz w:val="22"/>
          <w:szCs w:val="22"/>
        </w:rPr>
        <w:t>pharmgkb</w:t>
      </w:r>
      <w:r w:rsidR="001337C7">
        <w:rPr>
          <w:rFonts w:asciiTheme="majorHAnsi" w:hAnsiTheme="majorHAnsi"/>
          <w:sz w:val="22"/>
          <w:szCs w:val="22"/>
        </w:rPr>
        <w:t xml:space="preserve"> related</w:t>
      </w:r>
      <w:r w:rsidR="002F550B">
        <w:rPr>
          <w:rFonts w:asciiTheme="majorHAnsi" w:hAnsiTheme="majorHAnsi"/>
          <w:sz w:val="22"/>
          <w:szCs w:val="22"/>
        </w:rPr>
        <w:t xml:space="preserve"> manuscript </w:t>
      </w:r>
      <w:r w:rsidR="002F550B" w:rsidRPr="00551D41">
        <w:rPr>
          <w:rFonts w:asciiTheme="majorHAnsi" w:hAnsiTheme="majorHAnsi"/>
          <w:sz w:val="22"/>
          <w:szCs w:val="22"/>
        </w:rPr>
        <w:t>will be revie</w:t>
      </w:r>
      <w:r w:rsidR="002F550B">
        <w:rPr>
          <w:rFonts w:asciiTheme="majorHAnsi" w:hAnsiTheme="majorHAnsi"/>
          <w:sz w:val="22"/>
          <w:szCs w:val="22"/>
        </w:rPr>
        <w:t xml:space="preserve">wed by a member of the PharmGKB leadership team </w:t>
      </w:r>
      <w:r w:rsidR="002F550B" w:rsidRPr="00551D41">
        <w:rPr>
          <w:rFonts w:asciiTheme="majorHAnsi" w:hAnsiTheme="majorHAnsi"/>
          <w:sz w:val="22"/>
          <w:szCs w:val="22"/>
        </w:rPr>
        <w:t>without any conflicts to evaluate the language, tone, and conclusions of the recommendation in light of the author(s)’ conflicts.</w:t>
      </w:r>
      <w:r w:rsidR="001712AC">
        <w:rPr>
          <w:rFonts w:asciiTheme="majorHAnsi" w:hAnsiTheme="majorHAnsi"/>
          <w:sz w:val="22"/>
          <w:szCs w:val="22"/>
        </w:rPr>
        <w:t xml:space="preserve">  </w:t>
      </w:r>
    </w:p>
    <w:p w14:paraId="0BB5B623" w14:textId="77777777" w:rsidR="001712AC" w:rsidRDefault="001712AC" w:rsidP="001712AC">
      <w:pPr>
        <w:ind w:left="360"/>
        <w:rPr>
          <w:rFonts w:asciiTheme="majorHAnsi" w:hAnsiTheme="majorHAnsi"/>
          <w:sz w:val="22"/>
          <w:szCs w:val="22"/>
        </w:rPr>
      </w:pPr>
    </w:p>
    <w:p w14:paraId="67E51D75" w14:textId="3D62A08A" w:rsidR="001712AC" w:rsidRPr="001712AC" w:rsidRDefault="001712AC" w:rsidP="001712AC">
      <w:pPr>
        <w:ind w:left="360"/>
        <w:rPr>
          <w:rFonts w:asciiTheme="majorHAnsi" w:hAnsiTheme="majorHAnsi"/>
          <w:sz w:val="22"/>
          <w:szCs w:val="22"/>
        </w:rPr>
      </w:pPr>
      <w:r w:rsidRPr="001712AC">
        <w:rPr>
          <w:rFonts w:asciiTheme="majorHAnsi" w:hAnsiTheme="majorHAnsi"/>
          <w:sz w:val="22"/>
          <w:szCs w:val="22"/>
        </w:rPr>
        <w:t xml:space="preserve">The contents of PharmGKB (https://www.pharmgkb.org) are curated through a set of procedures and standards that are freely available in writing at any time.  Importantly, mechanisms for peer-review among PharmGKB curators are in place to ensure quality.  PharmGKB has been funded by NIH for 15 years and has undergone a competitive peer review every 5 years.  It is a term and condition of the grant award that the contents of PharmGKB are freely available for research purposes to all parties at any time.  As a grant, the conflicts of interest are managed by the Stanford University Conflict of Interest policies (https://doresearch.stanford.edu/research-scholarship/conflicts-interest) and oversight, and the university keeps the NIH informed through consultation and by filing COI statements each year.  At Stanford, the Office of Technology Transfer (contact – Imelda Oropeza, Copyright Licensing &amp; Marketing Specialist, Office of Technology Licensing, Stanford University, 1705 El Camino Real, Palo Alto, CA 94306, 650-725-9039 (direct), 650-725-7295 (fax), imelda.oropeza@stanford.edu) evaluates all opportunities to interact with and to license the contents of PharmGKB.  A list of all licensees and their purposes is openly available at https://www.pharmgkb.org/downloads/ under License Reports. </w:t>
      </w:r>
    </w:p>
    <w:p w14:paraId="5BA80198" w14:textId="77777777" w:rsidR="001712AC" w:rsidRPr="001712AC" w:rsidRDefault="001712AC" w:rsidP="001712AC">
      <w:pPr>
        <w:ind w:left="360"/>
        <w:rPr>
          <w:rFonts w:asciiTheme="majorHAnsi" w:hAnsiTheme="majorHAnsi"/>
          <w:sz w:val="22"/>
          <w:szCs w:val="22"/>
        </w:rPr>
      </w:pPr>
      <w:r w:rsidRPr="001712AC">
        <w:rPr>
          <w:rFonts w:asciiTheme="majorHAnsi" w:hAnsiTheme="majorHAnsi"/>
          <w:sz w:val="22"/>
          <w:szCs w:val="22"/>
        </w:rPr>
        <w:t xml:space="preserve"> </w:t>
      </w:r>
    </w:p>
    <w:p w14:paraId="57521A3B" w14:textId="77777777" w:rsidR="001712AC" w:rsidRPr="001712AC" w:rsidRDefault="001712AC" w:rsidP="001712AC">
      <w:pPr>
        <w:ind w:left="360"/>
        <w:rPr>
          <w:rFonts w:asciiTheme="majorHAnsi" w:hAnsiTheme="majorHAnsi"/>
          <w:sz w:val="22"/>
          <w:szCs w:val="22"/>
        </w:rPr>
      </w:pPr>
      <w:r w:rsidRPr="001712AC">
        <w:rPr>
          <w:rFonts w:asciiTheme="majorHAnsi" w:hAnsiTheme="majorHAnsi"/>
          <w:sz w:val="22"/>
          <w:szCs w:val="22"/>
        </w:rPr>
        <w:t xml:space="preserve">We routinely disclose that PharmGKB has been licensed exclusively to Personalis Inc (http://www.personalis.com/) for commercial use to coincide with the grant period (ends June 2015), and Personalis also has the right to sublicense for commercial uses.  Personalis is in the general business of genome sequencing for clinical uses.  Dr. Altman is a founder and consultant to Personalis and Dr. Klein is a consultant to Personalis.  They always disclose these relationships in all published papers and talks related to PharmGKB.   However, Personalis does not have any influence on the contents of PharmGKB.  Drs. Altman and Klein regularly report their activities to Stanford University.  </w:t>
      </w:r>
    </w:p>
    <w:p w14:paraId="0E4D4AC6" w14:textId="62562FE0" w:rsidR="00CF2946" w:rsidRPr="006605E9" w:rsidRDefault="00CF2946" w:rsidP="008731E7">
      <w:pPr>
        <w:ind w:left="360"/>
        <w:rPr>
          <w:rFonts w:asciiTheme="majorHAnsi" w:hAnsiTheme="majorHAnsi"/>
          <w:sz w:val="22"/>
          <w:szCs w:val="22"/>
        </w:rPr>
      </w:pPr>
    </w:p>
    <w:p w14:paraId="463A4813" w14:textId="77777777" w:rsidR="004A7982" w:rsidRDefault="004A7982">
      <w:pPr>
        <w:rPr>
          <w:rFonts w:asciiTheme="majorHAnsi" w:hAnsiTheme="majorHAnsi"/>
          <w:b/>
          <w:sz w:val="22"/>
          <w:szCs w:val="22"/>
        </w:rPr>
      </w:pPr>
      <w:r>
        <w:rPr>
          <w:rFonts w:asciiTheme="majorHAnsi" w:hAnsiTheme="majorHAnsi"/>
          <w:b/>
          <w:sz w:val="22"/>
          <w:szCs w:val="22"/>
        </w:rPr>
        <w:br w:type="page"/>
      </w:r>
    </w:p>
    <w:p w14:paraId="44EBD8F1" w14:textId="77777777" w:rsidR="00FB1B91" w:rsidRPr="004A7982" w:rsidRDefault="00FB1B91" w:rsidP="00FF33BC">
      <w:pPr>
        <w:ind w:left="360"/>
        <w:rPr>
          <w:rFonts w:asciiTheme="majorHAnsi" w:hAnsiTheme="majorHAnsi"/>
          <w:b/>
          <w:sz w:val="22"/>
          <w:szCs w:val="22"/>
        </w:rPr>
      </w:pPr>
      <w:r w:rsidRPr="004A7982">
        <w:rPr>
          <w:rFonts w:asciiTheme="majorHAnsi" w:hAnsiTheme="majorHAnsi"/>
          <w:b/>
          <w:sz w:val="22"/>
          <w:szCs w:val="22"/>
        </w:rPr>
        <w:t xml:space="preserve">4.  One page summary of the process used by the Expert Panel with regard to making clinical assertions </w:t>
      </w:r>
      <w:r w:rsidR="00BD274C" w:rsidRPr="004A7982">
        <w:rPr>
          <w:rFonts w:asciiTheme="majorHAnsi" w:hAnsiTheme="majorHAnsi"/>
          <w:b/>
          <w:sz w:val="22"/>
          <w:szCs w:val="22"/>
        </w:rPr>
        <w:t>for genetic variants.  Please note all genes currently under review by this process and any plans for future genes to be evaluated and assertions submitted to ClinVar.</w:t>
      </w:r>
      <w:r w:rsidRPr="004A7982">
        <w:rPr>
          <w:rFonts w:asciiTheme="majorHAnsi" w:hAnsiTheme="majorHAnsi"/>
          <w:b/>
          <w:sz w:val="22"/>
          <w:szCs w:val="22"/>
        </w:rPr>
        <w:br/>
      </w:r>
      <w:r w:rsidRPr="004A7982">
        <w:rPr>
          <w:rFonts w:asciiTheme="majorHAnsi" w:hAnsiTheme="majorHAnsi"/>
          <w:b/>
          <w:sz w:val="22"/>
          <w:szCs w:val="22"/>
        </w:rPr>
        <w:br/>
      </w:r>
    </w:p>
    <w:p w14:paraId="26A9A4AE" w14:textId="1BAA2BFB" w:rsidR="00136140" w:rsidRDefault="0091445C" w:rsidP="006C2628">
      <w:pPr>
        <w:ind w:left="360"/>
        <w:rPr>
          <w:rFonts w:asciiTheme="majorHAnsi" w:hAnsiTheme="majorHAnsi"/>
          <w:sz w:val="22"/>
          <w:szCs w:val="22"/>
        </w:rPr>
      </w:pPr>
      <w:r w:rsidRPr="0091445C">
        <w:rPr>
          <w:rFonts w:asciiTheme="majorHAnsi" w:hAnsiTheme="majorHAnsi"/>
          <w:sz w:val="22"/>
          <w:szCs w:val="22"/>
        </w:rPr>
        <w:t>The Pharmacogenomics Knowledgebase (PharmGKB</w:t>
      </w:r>
      <w:r w:rsidR="000C6C63">
        <w:rPr>
          <w:rFonts w:asciiTheme="majorHAnsi" w:hAnsiTheme="majorHAnsi"/>
          <w:sz w:val="22"/>
          <w:szCs w:val="22"/>
        </w:rPr>
        <w:t xml:space="preserve">, </w:t>
      </w:r>
      <w:hyperlink r:id="rId12" w:history="1">
        <w:r w:rsidR="00486B0A" w:rsidRPr="00486B0A">
          <w:rPr>
            <w:rStyle w:val="Hyperlink"/>
            <w:rFonts w:asciiTheme="majorHAnsi" w:hAnsiTheme="majorHAnsi"/>
            <w:i/>
            <w:sz w:val="22"/>
            <w:szCs w:val="22"/>
            <w14:textFill>
              <w14:solidFill>
                <w14:srgbClr w14:val="0000FF">
                  <w14:lumMod w14:val="50000"/>
                </w14:srgbClr>
              </w14:solidFill>
            </w14:textFill>
          </w:rPr>
          <w:t>http:</w:t>
        </w:r>
        <w:r w:rsidR="000C6C63" w:rsidRPr="00486B0A">
          <w:rPr>
            <w:rStyle w:val="Hyperlink"/>
            <w:rFonts w:asciiTheme="majorHAnsi" w:hAnsiTheme="majorHAnsi"/>
            <w:i/>
            <w:sz w:val="22"/>
            <w:szCs w:val="22"/>
            <w14:textFill>
              <w14:solidFill>
                <w14:srgbClr w14:val="0000FF">
                  <w14:lumMod w14:val="50000"/>
                </w14:srgbClr>
              </w14:solidFill>
            </w14:textFill>
          </w:rPr>
          <w:t>www.pharmgkb.org</w:t>
        </w:r>
      </w:hyperlink>
      <w:r w:rsidRPr="0091445C">
        <w:rPr>
          <w:rFonts w:asciiTheme="majorHAnsi" w:hAnsiTheme="majorHAnsi"/>
          <w:sz w:val="22"/>
          <w:szCs w:val="22"/>
        </w:rPr>
        <w:t>)</w:t>
      </w:r>
      <w:r>
        <w:rPr>
          <w:rFonts w:asciiTheme="majorHAnsi" w:hAnsiTheme="majorHAnsi"/>
          <w:b/>
          <w:sz w:val="22"/>
          <w:szCs w:val="22"/>
        </w:rPr>
        <w:t xml:space="preserve"> </w:t>
      </w:r>
      <w:r>
        <w:rPr>
          <w:rFonts w:asciiTheme="majorHAnsi" w:hAnsiTheme="majorHAnsi"/>
          <w:sz w:val="22"/>
          <w:szCs w:val="22"/>
        </w:rPr>
        <w:t xml:space="preserve">is a publically available </w:t>
      </w:r>
      <w:r w:rsidR="004D06E7">
        <w:rPr>
          <w:rFonts w:asciiTheme="majorHAnsi" w:hAnsiTheme="majorHAnsi"/>
          <w:sz w:val="22"/>
          <w:szCs w:val="22"/>
        </w:rPr>
        <w:t>knowledge</w:t>
      </w:r>
      <w:r w:rsidRPr="0091445C">
        <w:rPr>
          <w:rFonts w:asciiTheme="majorHAnsi" w:hAnsiTheme="majorHAnsi"/>
          <w:sz w:val="22"/>
          <w:szCs w:val="22"/>
        </w:rPr>
        <w:t>base that collects, curates, and disseminates information about the impact of human genetic variation on drug responses.</w:t>
      </w:r>
      <w:r w:rsidR="000C6C63">
        <w:rPr>
          <w:rFonts w:asciiTheme="majorHAnsi" w:hAnsiTheme="majorHAnsi"/>
          <w:sz w:val="22"/>
          <w:szCs w:val="22"/>
        </w:rPr>
        <w:t xml:space="preserve"> It provides </w:t>
      </w:r>
      <w:r w:rsidR="000C6C63" w:rsidRPr="000C6C63">
        <w:rPr>
          <w:rFonts w:asciiTheme="majorHAnsi" w:hAnsiTheme="majorHAnsi"/>
          <w:sz w:val="22"/>
          <w:szCs w:val="22"/>
        </w:rPr>
        <w:t>comprehensive catalog of genes and genetic variations that are most important for drug response (many directly linked to drug efficacy and</w:t>
      </w:r>
      <w:r w:rsidR="004D06E7">
        <w:rPr>
          <w:rFonts w:asciiTheme="majorHAnsi" w:hAnsiTheme="majorHAnsi"/>
          <w:sz w:val="22"/>
          <w:szCs w:val="22"/>
        </w:rPr>
        <w:t xml:space="preserve"> </w:t>
      </w:r>
      <w:r w:rsidR="000C6C63" w:rsidRPr="000C6C63">
        <w:rPr>
          <w:rFonts w:asciiTheme="majorHAnsi" w:hAnsiTheme="majorHAnsi"/>
          <w:sz w:val="22"/>
          <w:szCs w:val="22"/>
        </w:rPr>
        <w:t>toxicity)</w:t>
      </w:r>
      <w:r w:rsidR="006C2628">
        <w:rPr>
          <w:rFonts w:asciiTheme="majorHAnsi" w:hAnsiTheme="majorHAnsi"/>
          <w:sz w:val="22"/>
          <w:szCs w:val="22"/>
        </w:rPr>
        <w:t>.  PharmGKB presents</w:t>
      </w:r>
      <w:r w:rsidR="000C6C63" w:rsidRPr="000C6C63">
        <w:rPr>
          <w:rFonts w:asciiTheme="majorHAnsi" w:hAnsiTheme="majorHAnsi"/>
          <w:sz w:val="22"/>
          <w:szCs w:val="22"/>
        </w:rPr>
        <w:t xml:space="preserve"> knowledge in the forms of </w:t>
      </w:r>
      <w:r w:rsidR="006C2628">
        <w:rPr>
          <w:rFonts w:asciiTheme="majorHAnsi" w:hAnsiTheme="majorHAnsi"/>
          <w:sz w:val="22"/>
          <w:szCs w:val="22"/>
        </w:rPr>
        <w:t xml:space="preserve">variant and clinical annotations, drug dosing guidelines, </w:t>
      </w:r>
      <w:r w:rsidR="000C6C63" w:rsidRPr="000C6C63">
        <w:rPr>
          <w:rFonts w:asciiTheme="majorHAnsi" w:hAnsiTheme="majorHAnsi"/>
          <w:sz w:val="22"/>
          <w:szCs w:val="22"/>
        </w:rPr>
        <w:t>pathway diagrams and Very Im</w:t>
      </w:r>
      <w:r w:rsidR="006C2628">
        <w:rPr>
          <w:rFonts w:asciiTheme="majorHAnsi" w:hAnsiTheme="majorHAnsi"/>
          <w:sz w:val="22"/>
          <w:szCs w:val="22"/>
        </w:rPr>
        <w:t xml:space="preserve">portant Pharmacogene (VIP) gene </w:t>
      </w:r>
      <w:r w:rsidR="000C6C63" w:rsidRPr="000C6C63">
        <w:rPr>
          <w:rFonts w:asciiTheme="majorHAnsi" w:hAnsiTheme="majorHAnsi"/>
          <w:sz w:val="22"/>
          <w:szCs w:val="22"/>
        </w:rPr>
        <w:t>summaries.</w:t>
      </w:r>
      <w:r w:rsidR="006C2628">
        <w:rPr>
          <w:rFonts w:asciiTheme="majorHAnsi" w:hAnsiTheme="majorHAnsi"/>
          <w:sz w:val="22"/>
          <w:szCs w:val="22"/>
        </w:rPr>
        <w:t xml:space="preserve"> </w:t>
      </w:r>
      <w:r w:rsidR="002E702C">
        <w:rPr>
          <w:rFonts w:asciiTheme="majorHAnsi" w:hAnsiTheme="majorHAnsi"/>
          <w:sz w:val="22"/>
          <w:szCs w:val="22"/>
        </w:rPr>
        <w:t xml:space="preserve">These </w:t>
      </w:r>
      <w:r w:rsidR="000C6C63">
        <w:rPr>
          <w:rFonts w:asciiTheme="majorHAnsi" w:hAnsiTheme="majorHAnsi"/>
          <w:sz w:val="22"/>
          <w:szCs w:val="22"/>
        </w:rPr>
        <w:t xml:space="preserve">annotations are </w:t>
      </w:r>
      <w:r w:rsidR="00486B0A">
        <w:rPr>
          <w:rFonts w:asciiTheme="majorHAnsi" w:hAnsiTheme="majorHAnsi"/>
          <w:sz w:val="22"/>
          <w:szCs w:val="22"/>
        </w:rPr>
        <w:t>manually curated</w:t>
      </w:r>
      <w:r w:rsidR="00AE2117">
        <w:rPr>
          <w:rFonts w:asciiTheme="majorHAnsi" w:hAnsiTheme="majorHAnsi"/>
          <w:sz w:val="22"/>
          <w:szCs w:val="22"/>
        </w:rPr>
        <w:t xml:space="preserve"> by PhD/MS level scientific curators</w:t>
      </w:r>
      <w:r w:rsidR="002E702C">
        <w:rPr>
          <w:rFonts w:asciiTheme="majorHAnsi" w:hAnsiTheme="majorHAnsi"/>
          <w:sz w:val="22"/>
          <w:szCs w:val="22"/>
        </w:rPr>
        <w:t xml:space="preserve"> from </w:t>
      </w:r>
      <w:r w:rsidR="002E702C" w:rsidRPr="002E702C">
        <w:rPr>
          <w:rFonts w:asciiTheme="majorHAnsi" w:hAnsiTheme="majorHAnsi"/>
          <w:sz w:val="22"/>
          <w:szCs w:val="22"/>
        </w:rPr>
        <w:t>primary pharmacogenomic literature</w:t>
      </w:r>
      <w:r w:rsidR="004D06E7">
        <w:rPr>
          <w:rFonts w:asciiTheme="majorHAnsi" w:hAnsiTheme="majorHAnsi"/>
          <w:sz w:val="22"/>
          <w:szCs w:val="22"/>
        </w:rPr>
        <w:t xml:space="preserve"> and are products of collaboration with external scientific experts</w:t>
      </w:r>
      <w:r w:rsidR="00AE2117">
        <w:rPr>
          <w:rFonts w:asciiTheme="majorHAnsi" w:hAnsiTheme="majorHAnsi"/>
          <w:sz w:val="22"/>
          <w:szCs w:val="22"/>
        </w:rPr>
        <w:t xml:space="preserve">. We have developed </w:t>
      </w:r>
      <w:r w:rsidR="00486B0A">
        <w:rPr>
          <w:rFonts w:asciiTheme="majorHAnsi" w:hAnsiTheme="majorHAnsi"/>
          <w:sz w:val="22"/>
          <w:szCs w:val="22"/>
        </w:rPr>
        <w:t xml:space="preserve">standard operating procedures </w:t>
      </w:r>
      <w:r w:rsidR="00AE2117">
        <w:rPr>
          <w:rFonts w:asciiTheme="majorHAnsi" w:hAnsiTheme="majorHAnsi"/>
          <w:sz w:val="22"/>
          <w:szCs w:val="22"/>
        </w:rPr>
        <w:t xml:space="preserve">for our curation process to ensure data accuracy, completeness and consistency.  Our </w:t>
      </w:r>
      <w:r w:rsidR="00486B0A">
        <w:rPr>
          <w:rFonts w:asciiTheme="majorHAnsi" w:hAnsiTheme="majorHAnsi"/>
          <w:sz w:val="22"/>
          <w:szCs w:val="22"/>
        </w:rPr>
        <w:t>pathways, VIPs and dosing guidelines are written in collaboration with experts in the fields and many are published in peer reviewed leading pharmacoge</w:t>
      </w:r>
      <w:r w:rsidR="00AE2117">
        <w:rPr>
          <w:rFonts w:asciiTheme="majorHAnsi" w:hAnsiTheme="majorHAnsi"/>
          <w:sz w:val="22"/>
          <w:szCs w:val="22"/>
        </w:rPr>
        <w:t>nomics journals.</w:t>
      </w:r>
    </w:p>
    <w:p w14:paraId="551F6C72" w14:textId="77777777" w:rsidR="00AE2117" w:rsidRDefault="00AE2117" w:rsidP="006C2628">
      <w:pPr>
        <w:ind w:left="360"/>
        <w:rPr>
          <w:rFonts w:asciiTheme="majorHAnsi" w:hAnsiTheme="majorHAnsi"/>
          <w:sz w:val="22"/>
          <w:szCs w:val="22"/>
        </w:rPr>
      </w:pPr>
    </w:p>
    <w:p w14:paraId="319024F6" w14:textId="77777777" w:rsidR="000440FC" w:rsidRDefault="00136140" w:rsidP="000440FC">
      <w:pPr>
        <w:ind w:left="360"/>
        <w:rPr>
          <w:rFonts w:asciiTheme="majorHAnsi" w:hAnsiTheme="majorHAnsi"/>
          <w:sz w:val="22"/>
          <w:szCs w:val="22"/>
        </w:rPr>
      </w:pPr>
      <w:r w:rsidRPr="00985F41">
        <w:rPr>
          <w:rFonts w:asciiTheme="majorHAnsi" w:hAnsiTheme="majorHAnsi"/>
          <w:sz w:val="22"/>
          <w:szCs w:val="22"/>
        </w:rPr>
        <w:t>Variant annotations are the core component of the knowledge</w:t>
      </w:r>
      <w:r w:rsidR="00795615">
        <w:rPr>
          <w:rFonts w:asciiTheme="majorHAnsi" w:hAnsiTheme="majorHAnsi"/>
          <w:sz w:val="22"/>
          <w:szCs w:val="22"/>
        </w:rPr>
        <w:t>base and e</w:t>
      </w:r>
      <w:r w:rsidRPr="00985F41">
        <w:rPr>
          <w:rFonts w:asciiTheme="majorHAnsi" w:hAnsiTheme="majorHAnsi"/>
          <w:sz w:val="22"/>
          <w:szCs w:val="22"/>
        </w:rPr>
        <w:t xml:space="preserve">ach variant annotation is based on a published article and describes the reported association between a single variant (single-nucleotide polymorphism or haplotype) and a drug phenotype. </w:t>
      </w:r>
      <w:r w:rsidR="009D3657">
        <w:rPr>
          <w:rFonts w:asciiTheme="majorHAnsi" w:hAnsiTheme="majorHAnsi"/>
          <w:sz w:val="22"/>
          <w:szCs w:val="22"/>
        </w:rPr>
        <w:t>Each variant annotation includes k</w:t>
      </w:r>
      <w:r w:rsidRPr="00985F41">
        <w:rPr>
          <w:rFonts w:asciiTheme="majorHAnsi" w:hAnsiTheme="majorHAnsi"/>
          <w:sz w:val="22"/>
          <w:szCs w:val="22"/>
        </w:rPr>
        <w:t xml:space="preserve">ey study parameters such as study size, ethnicity, </w:t>
      </w:r>
      <w:r w:rsidR="00231486">
        <w:rPr>
          <w:rFonts w:asciiTheme="majorHAnsi" w:hAnsiTheme="majorHAnsi"/>
          <w:sz w:val="22"/>
          <w:szCs w:val="22"/>
        </w:rPr>
        <w:t xml:space="preserve">allele frequency </w:t>
      </w:r>
      <w:r w:rsidRPr="00985F41">
        <w:rPr>
          <w:rFonts w:asciiTheme="majorHAnsi" w:hAnsiTheme="majorHAnsi"/>
          <w:sz w:val="22"/>
          <w:szCs w:val="22"/>
        </w:rPr>
        <w:t>and statistics (e.g., P value and odds ratio).</w:t>
      </w:r>
      <w:r w:rsidR="009D3657">
        <w:rPr>
          <w:rFonts w:asciiTheme="majorHAnsi" w:hAnsiTheme="majorHAnsi"/>
          <w:sz w:val="22"/>
          <w:szCs w:val="22"/>
        </w:rPr>
        <w:t xml:space="preserve"> They are also constructed using uniform sentence</w:t>
      </w:r>
      <w:r w:rsidR="00231486">
        <w:rPr>
          <w:rFonts w:asciiTheme="majorHAnsi" w:hAnsiTheme="majorHAnsi"/>
          <w:sz w:val="22"/>
          <w:szCs w:val="22"/>
        </w:rPr>
        <w:t>s</w:t>
      </w:r>
      <w:r w:rsidR="009D3657">
        <w:rPr>
          <w:rFonts w:asciiTheme="majorHAnsi" w:hAnsiTheme="majorHAnsi"/>
          <w:sz w:val="22"/>
          <w:szCs w:val="22"/>
        </w:rPr>
        <w:t xml:space="preserve"> and standardized terminology to allow for seamless integration with other components of our database as well as all</w:t>
      </w:r>
      <w:r w:rsidR="002E0FB4">
        <w:rPr>
          <w:rFonts w:asciiTheme="majorHAnsi" w:hAnsiTheme="majorHAnsi"/>
          <w:sz w:val="22"/>
          <w:szCs w:val="22"/>
        </w:rPr>
        <w:t>ow for seamless</w:t>
      </w:r>
      <w:r w:rsidR="009D3657">
        <w:rPr>
          <w:rFonts w:asciiTheme="majorHAnsi" w:hAnsiTheme="majorHAnsi"/>
          <w:sz w:val="22"/>
          <w:szCs w:val="22"/>
        </w:rPr>
        <w:t xml:space="preserve"> integration with other research</w:t>
      </w:r>
      <w:r w:rsidR="00231486">
        <w:rPr>
          <w:rFonts w:asciiTheme="majorHAnsi" w:hAnsiTheme="majorHAnsi"/>
          <w:sz w:val="22"/>
          <w:szCs w:val="22"/>
        </w:rPr>
        <w:t>/clinical</w:t>
      </w:r>
      <w:r w:rsidR="009D3657">
        <w:rPr>
          <w:rFonts w:asciiTheme="majorHAnsi" w:hAnsiTheme="majorHAnsi"/>
          <w:sz w:val="22"/>
          <w:szCs w:val="22"/>
        </w:rPr>
        <w:t xml:space="preserve"> databases. </w:t>
      </w:r>
    </w:p>
    <w:p w14:paraId="01E6B927" w14:textId="77777777" w:rsidR="000440FC" w:rsidRDefault="000440FC" w:rsidP="000440FC">
      <w:pPr>
        <w:ind w:left="360"/>
        <w:rPr>
          <w:rFonts w:asciiTheme="majorHAnsi" w:hAnsiTheme="majorHAnsi"/>
          <w:sz w:val="22"/>
          <w:szCs w:val="22"/>
        </w:rPr>
      </w:pPr>
    </w:p>
    <w:p w14:paraId="0B59C119" w14:textId="77777777" w:rsidR="000440FC" w:rsidRDefault="000440FC" w:rsidP="005D2F0C">
      <w:pPr>
        <w:ind w:left="360"/>
        <w:rPr>
          <w:rFonts w:asciiTheme="majorHAnsi" w:hAnsiTheme="majorHAnsi"/>
          <w:sz w:val="22"/>
          <w:szCs w:val="22"/>
        </w:rPr>
      </w:pPr>
      <w:r w:rsidRPr="00985F41">
        <w:rPr>
          <w:rFonts w:asciiTheme="majorHAnsi" w:hAnsiTheme="majorHAnsi"/>
          <w:sz w:val="22"/>
          <w:szCs w:val="22"/>
        </w:rPr>
        <w:t>Bu</w:t>
      </w:r>
      <w:r>
        <w:rPr>
          <w:rFonts w:asciiTheme="majorHAnsi" w:hAnsiTheme="majorHAnsi"/>
          <w:sz w:val="22"/>
          <w:szCs w:val="22"/>
        </w:rPr>
        <w:t>ilding on variant annotations, PharmGKB “</w:t>
      </w:r>
      <w:r w:rsidRPr="00985F41">
        <w:rPr>
          <w:rFonts w:asciiTheme="majorHAnsi" w:hAnsiTheme="majorHAnsi"/>
          <w:sz w:val="22"/>
          <w:szCs w:val="22"/>
        </w:rPr>
        <w:t>clinical annotations” combine multiple-variant annotati</w:t>
      </w:r>
      <w:r>
        <w:rPr>
          <w:rFonts w:asciiTheme="majorHAnsi" w:hAnsiTheme="majorHAnsi"/>
          <w:sz w:val="22"/>
          <w:szCs w:val="22"/>
        </w:rPr>
        <w:t>ons into a single summary of genotype-based</w:t>
      </w:r>
      <w:r w:rsidRPr="00985F41">
        <w:rPr>
          <w:rFonts w:asciiTheme="majorHAnsi" w:hAnsiTheme="majorHAnsi"/>
          <w:sz w:val="22"/>
          <w:szCs w:val="22"/>
        </w:rPr>
        <w:t xml:space="preserve"> variant–drug–phenotype association. </w:t>
      </w:r>
      <w:r w:rsidRPr="000440FC">
        <w:rPr>
          <w:rFonts w:asciiTheme="majorHAnsi" w:hAnsiTheme="majorHAnsi"/>
          <w:sz w:val="22"/>
          <w:szCs w:val="22"/>
        </w:rPr>
        <w:t>Each Clini</w:t>
      </w:r>
      <w:r w:rsidR="002E0FB4">
        <w:rPr>
          <w:rFonts w:asciiTheme="majorHAnsi" w:hAnsiTheme="majorHAnsi"/>
          <w:sz w:val="22"/>
          <w:szCs w:val="22"/>
        </w:rPr>
        <w:t>cal a</w:t>
      </w:r>
      <w:r w:rsidRPr="000440FC">
        <w:rPr>
          <w:rFonts w:asciiTheme="majorHAnsi" w:hAnsiTheme="majorHAnsi"/>
          <w:sz w:val="22"/>
          <w:szCs w:val="22"/>
        </w:rPr>
        <w:t xml:space="preserve">nnotation is </w:t>
      </w:r>
      <w:r w:rsidR="00FB6FA2">
        <w:rPr>
          <w:rFonts w:asciiTheme="majorHAnsi" w:hAnsiTheme="majorHAnsi"/>
          <w:sz w:val="22"/>
          <w:szCs w:val="22"/>
        </w:rPr>
        <w:t xml:space="preserve">assigned </w:t>
      </w:r>
      <w:r w:rsidRPr="000440FC">
        <w:rPr>
          <w:rFonts w:asciiTheme="majorHAnsi" w:hAnsiTheme="majorHAnsi"/>
          <w:sz w:val="22"/>
          <w:szCs w:val="22"/>
        </w:rPr>
        <w:t>a level of evidence depending on specific criteria, including study size</w:t>
      </w:r>
      <w:r w:rsidR="00904888">
        <w:rPr>
          <w:rFonts w:asciiTheme="majorHAnsi" w:hAnsiTheme="majorHAnsi"/>
          <w:sz w:val="22"/>
          <w:szCs w:val="22"/>
        </w:rPr>
        <w:t>, replication,</w:t>
      </w:r>
      <w:r w:rsidR="00BB1F8A">
        <w:rPr>
          <w:rFonts w:asciiTheme="majorHAnsi" w:hAnsiTheme="majorHAnsi"/>
          <w:sz w:val="22"/>
          <w:szCs w:val="22"/>
        </w:rPr>
        <w:t xml:space="preserve"> </w:t>
      </w:r>
      <w:r w:rsidR="00904888">
        <w:rPr>
          <w:rFonts w:asciiTheme="majorHAnsi" w:hAnsiTheme="majorHAnsi"/>
          <w:sz w:val="22"/>
          <w:szCs w:val="22"/>
        </w:rPr>
        <w:t xml:space="preserve">implementation status </w:t>
      </w:r>
      <w:r w:rsidRPr="000440FC">
        <w:rPr>
          <w:rFonts w:asciiTheme="majorHAnsi" w:hAnsiTheme="majorHAnsi"/>
          <w:sz w:val="22"/>
          <w:szCs w:val="22"/>
        </w:rPr>
        <w:t>and statistical relevance of the association</w:t>
      </w:r>
      <w:r w:rsidR="00904888">
        <w:rPr>
          <w:rFonts w:asciiTheme="majorHAnsi" w:hAnsiTheme="majorHAnsi"/>
          <w:sz w:val="22"/>
          <w:szCs w:val="22"/>
        </w:rPr>
        <w:t xml:space="preserve"> (P-value and odds ratio, etc.)</w:t>
      </w:r>
      <w:r w:rsidRPr="00985F41">
        <w:rPr>
          <w:rFonts w:asciiTheme="majorHAnsi" w:hAnsiTheme="majorHAnsi"/>
          <w:sz w:val="22"/>
          <w:szCs w:val="22"/>
        </w:rPr>
        <w:t xml:space="preserve">. </w:t>
      </w:r>
      <w:r w:rsidR="002E0FB4">
        <w:rPr>
          <w:rFonts w:asciiTheme="majorHAnsi" w:hAnsiTheme="majorHAnsi"/>
          <w:sz w:val="22"/>
          <w:szCs w:val="22"/>
        </w:rPr>
        <w:t>Clinical a</w:t>
      </w:r>
      <w:r w:rsidR="005D2F0C" w:rsidRPr="005D2F0C">
        <w:rPr>
          <w:rFonts w:asciiTheme="majorHAnsi" w:hAnsiTheme="majorHAnsi"/>
          <w:sz w:val="22"/>
          <w:szCs w:val="22"/>
        </w:rPr>
        <w:t xml:space="preserve">nnotations </w:t>
      </w:r>
      <w:r w:rsidR="005D2F0C">
        <w:rPr>
          <w:rFonts w:asciiTheme="majorHAnsi" w:hAnsiTheme="majorHAnsi"/>
          <w:sz w:val="22"/>
          <w:szCs w:val="22"/>
        </w:rPr>
        <w:t xml:space="preserve">may </w:t>
      </w:r>
      <w:r w:rsidR="008A47AA">
        <w:rPr>
          <w:rFonts w:asciiTheme="majorHAnsi" w:hAnsiTheme="majorHAnsi"/>
          <w:sz w:val="22"/>
          <w:szCs w:val="22"/>
        </w:rPr>
        <w:t xml:space="preserve">also </w:t>
      </w:r>
      <w:r w:rsidR="005D2F0C" w:rsidRPr="005D2F0C">
        <w:rPr>
          <w:rFonts w:asciiTheme="majorHAnsi" w:hAnsiTheme="majorHAnsi"/>
          <w:sz w:val="22"/>
          <w:szCs w:val="22"/>
        </w:rPr>
        <w:t>move up or down the evidence scale if new variant annotations provide further evidence for the association, if the association becomes implemented in the clinic, or contradictory findings are published.</w:t>
      </w:r>
      <w:r w:rsidR="005D2F0C">
        <w:rPr>
          <w:rFonts w:asciiTheme="majorHAnsi" w:hAnsiTheme="majorHAnsi"/>
          <w:sz w:val="22"/>
          <w:szCs w:val="22"/>
        </w:rPr>
        <w:t xml:space="preserve"> </w:t>
      </w:r>
      <w:r w:rsidR="00904888">
        <w:rPr>
          <w:rFonts w:asciiTheme="majorHAnsi" w:hAnsiTheme="majorHAnsi"/>
          <w:sz w:val="22"/>
          <w:szCs w:val="22"/>
        </w:rPr>
        <w:t xml:space="preserve">We currently have </w:t>
      </w:r>
      <w:r w:rsidRPr="00985F41">
        <w:rPr>
          <w:rFonts w:asciiTheme="majorHAnsi" w:hAnsiTheme="majorHAnsi"/>
          <w:sz w:val="22"/>
          <w:szCs w:val="22"/>
        </w:rPr>
        <w:t>four levels of evidence</w:t>
      </w:r>
      <w:r w:rsidR="005D2F0C">
        <w:rPr>
          <w:rFonts w:asciiTheme="majorHAnsi" w:hAnsiTheme="majorHAnsi"/>
          <w:sz w:val="22"/>
          <w:szCs w:val="22"/>
        </w:rPr>
        <w:t xml:space="preserve"> for clinical annotations</w:t>
      </w:r>
      <w:r w:rsidRPr="00985F41">
        <w:rPr>
          <w:rFonts w:asciiTheme="majorHAnsi" w:hAnsiTheme="majorHAnsi"/>
          <w:sz w:val="22"/>
          <w:szCs w:val="22"/>
        </w:rPr>
        <w:t>. Level 1 annotations involve a variant–drug combination in which the preponderance of evidence shows an association. The association must be replicated in more than one cohort with significant P values and, preferably, with a strong effect size. Level 2 annotations are for variant–drug combinations with moder</w:t>
      </w:r>
      <w:r w:rsidR="00564A53">
        <w:rPr>
          <w:rFonts w:asciiTheme="majorHAnsi" w:hAnsiTheme="majorHAnsi"/>
          <w:sz w:val="22"/>
          <w:szCs w:val="22"/>
        </w:rPr>
        <w:t xml:space="preserve">ate evidence of an association, </w:t>
      </w:r>
      <w:r w:rsidRPr="00985F41">
        <w:rPr>
          <w:rFonts w:asciiTheme="majorHAnsi" w:hAnsiTheme="majorHAnsi"/>
          <w:sz w:val="22"/>
          <w:szCs w:val="22"/>
        </w:rPr>
        <w:t xml:space="preserve">must be replicated but may </w:t>
      </w:r>
      <w:r w:rsidR="0017053C">
        <w:rPr>
          <w:rFonts w:asciiTheme="majorHAnsi" w:hAnsiTheme="majorHAnsi"/>
          <w:sz w:val="22"/>
          <w:szCs w:val="22"/>
        </w:rPr>
        <w:t>include negative studies</w:t>
      </w:r>
      <w:r w:rsidRPr="00985F41">
        <w:rPr>
          <w:rFonts w:asciiTheme="majorHAnsi" w:hAnsiTheme="majorHAnsi"/>
          <w:sz w:val="22"/>
          <w:szCs w:val="22"/>
        </w:rPr>
        <w:t xml:space="preserve">. </w:t>
      </w:r>
      <w:r w:rsidR="00564A53" w:rsidRPr="00985F41">
        <w:rPr>
          <w:rFonts w:asciiTheme="majorHAnsi" w:hAnsiTheme="majorHAnsi"/>
          <w:sz w:val="22"/>
          <w:szCs w:val="22"/>
        </w:rPr>
        <w:t xml:space="preserve">Level 3 annotations are based on a single significant (not yet </w:t>
      </w:r>
      <w:r w:rsidR="00564A53">
        <w:rPr>
          <w:rFonts w:asciiTheme="majorHAnsi" w:hAnsiTheme="majorHAnsi"/>
          <w:sz w:val="22"/>
          <w:szCs w:val="22"/>
        </w:rPr>
        <w:t xml:space="preserve">replicated) study or association </w:t>
      </w:r>
      <w:r w:rsidR="00564A53" w:rsidRPr="00985F41">
        <w:rPr>
          <w:rFonts w:asciiTheme="majorHAnsi" w:hAnsiTheme="majorHAnsi"/>
          <w:sz w:val="22"/>
          <w:szCs w:val="22"/>
        </w:rPr>
        <w:t>evaluated in multiple studies but lacking clear evidence of an association. Level 4 annotations are based on a case report; on a study that did not achieve significance but is b</w:t>
      </w:r>
      <w:r w:rsidR="002E0FB4">
        <w:rPr>
          <w:rFonts w:asciiTheme="majorHAnsi" w:hAnsiTheme="majorHAnsi"/>
          <w:sz w:val="22"/>
          <w:szCs w:val="22"/>
        </w:rPr>
        <w:t xml:space="preserve">iologically plausible; or on </w:t>
      </w:r>
      <w:r w:rsidR="002E0FB4" w:rsidRPr="00D46DE0">
        <w:rPr>
          <w:rFonts w:asciiTheme="majorHAnsi" w:hAnsiTheme="majorHAnsi"/>
          <w:i/>
          <w:sz w:val="22"/>
          <w:szCs w:val="22"/>
        </w:rPr>
        <w:t xml:space="preserve">in </w:t>
      </w:r>
      <w:r w:rsidR="00564A53" w:rsidRPr="00D46DE0">
        <w:rPr>
          <w:rFonts w:asciiTheme="majorHAnsi" w:hAnsiTheme="majorHAnsi"/>
          <w:i/>
          <w:sz w:val="22"/>
          <w:szCs w:val="22"/>
        </w:rPr>
        <w:t>vitro</w:t>
      </w:r>
      <w:r w:rsidR="00564A53" w:rsidRPr="00985F41">
        <w:rPr>
          <w:rFonts w:asciiTheme="majorHAnsi" w:hAnsiTheme="majorHAnsi"/>
          <w:sz w:val="22"/>
          <w:szCs w:val="22"/>
        </w:rPr>
        <w:t>, molecular, or functional assay evidence.</w:t>
      </w:r>
      <w:r w:rsidR="00564A53">
        <w:rPr>
          <w:rFonts w:asciiTheme="majorHAnsi" w:hAnsiTheme="majorHAnsi"/>
          <w:sz w:val="22"/>
          <w:szCs w:val="22"/>
        </w:rPr>
        <w:t xml:space="preserve"> </w:t>
      </w:r>
      <w:r w:rsidR="00904888">
        <w:rPr>
          <w:rFonts w:asciiTheme="majorHAnsi" w:hAnsiTheme="majorHAnsi"/>
          <w:sz w:val="22"/>
          <w:szCs w:val="22"/>
        </w:rPr>
        <w:t xml:space="preserve">The evidence scale provides a clear measure of confidence in the drug-variant association and </w:t>
      </w:r>
      <w:r w:rsidR="00D46DE0">
        <w:rPr>
          <w:rFonts w:asciiTheme="majorHAnsi" w:hAnsiTheme="majorHAnsi"/>
          <w:sz w:val="22"/>
          <w:szCs w:val="22"/>
        </w:rPr>
        <w:t xml:space="preserve">is </w:t>
      </w:r>
      <w:r w:rsidR="00904888">
        <w:rPr>
          <w:rFonts w:asciiTheme="majorHAnsi" w:hAnsiTheme="majorHAnsi"/>
          <w:sz w:val="22"/>
          <w:szCs w:val="22"/>
        </w:rPr>
        <w:t>easily interpretable by clinicians and researchers. These criteria have gone through multiple rounds of improvements based on feedbacks from our scientific advisors as well as other experts from the field.</w:t>
      </w:r>
      <w:r w:rsidR="00E81F3E">
        <w:rPr>
          <w:rFonts w:asciiTheme="majorHAnsi" w:hAnsiTheme="majorHAnsi"/>
          <w:sz w:val="22"/>
          <w:szCs w:val="22"/>
        </w:rPr>
        <w:t xml:space="preserve"> Variant annotations are added as new papers come out and clinical annotations are reviewed and revised as new evidence come out. </w:t>
      </w:r>
    </w:p>
    <w:p w14:paraId="0D518AD8" w14:textId="77777777" w:rsidR="00B036D0" w:rsidRDefault="00B036D0" w:rsidP="005D2F0C">
      <w:pPr>
        <w:ind w:left="360"/>
        <w:rPr>
          <w:rFonts w:asciiTheme="majorHAnsi" w:hAnsiTheme="majorHAnsi"/>
          <w:sz w:val="22"/>
          <w:szCs w:val="22"/>
        </w:rPr>
      </w:pPr>
    </w:p>
    <w:p w14:paraId="0C4831C4" w14:textId="1A59E6B7" w:rsidR="00B036D0" w:rsidRDefault="00AE2B3C" w:rsidP="00FE0A01">
      <w:pPr>
        <w:ind w:left="360"/>
        <w:rPr>
          <w:rFonts w:asciiTheme="majorHAnsi" w:hAnsiTheme="majorHAnsi"/>
          <w:sz w:val="22"/>
          <w:szCs w:val="22"/>
        </w:rPr>
      </w:pPr>
      <w:r>
        <w:rPr>
          <w:rFonts w:asciiTheme="majorHAnsi" w:hAnsiTheme="majorHAnsi"/>
          <w:sz w:val="22"/>
          <w:szCs w:val="22"/>
        </w:rPr>
        <w:t xml:space="preserve">PharmGKB </w:t>
      </w:r>
      <w:r w:rsidR="00B036D0">
        <w:rPr>
          <w:rFonts w:asciiTheme="majorHAnsi" w:hAnsiTheme="majorHAnsi"/>
          <w:sz w:val="22"/>
          <w:szCs w:val="22"/>
        </w:rPr>
        <w:t>work</w:t>
      </w:r>
      <w:r>
        <w:rPr>
          <w:rFonts w:asciiTheme="majorHAnsi" w:hAnsiTheme="majorHAnsi"/>
          <w:sz w:val="22"/>
          <w:szCs w:val="22"/>
        </w:rPr>
        <w:t>s</w:t>
      </w:r>
      <w:r w:rsidR="00B036D0">
        <w:rPr>
          <w:rFonts w:asciiTheme="majorHAnsi" w:hAnsiTheme="majorHAnsi"/>
          <w:sz w:val="22"/>
          <w:szCs w:val="22"/>
        </w:rPr>
        <w:t xml:space="preserve"> closely with t</w:t>
      </w:r>
      <w:r w:rsidR="00B036D0" w:rsidRPr="00B036D0">
        <w:rPr>
          <w:rFonts w:asciiTheme="majorHAnsi" w:hAnsiTheme="majorHAnsi"/>
          <w:sz w:val="22"/>
          <w:szCs w:val="22"/>
        </w:rPr>
        <w:t>he Clinical Pharmacogenetics Implementation Consortium (CPIC)</w:t>
      </w:r>
      <w:r w:rsidR="00FE0A01" w:rsidRPr="00FE0A01">
        <w:t xml:space="preserve"> </w:t>
      </w:r>
      <w:r w:rsidR="00FE0A01">
        <w:t xml:space="preserve">from the start of the shared project. </w:t>
      </w:r>
      <w:r w:rsidR="00FE0A01" w:rsidRPr="00FE0A01">
        <w:rPr>
          <w:rFonts w:asciiTheme="majorHAnsi" w:hAnsiTheme="majorHAnsi"/>
          <w:sz w:val="22"/>
          <w:szCs w:val="22"/>
        </w:rPr>
        <w:t>PharmGKB assigns at least one</w:t>
      </w:r>
      <w:r w:rsidR="00FE0A01">
        <w:rPr>
          <w:rFonts w:asciiTheme="majorHAnsi" w:hAnsiTheme="majorHAnsi"/>
          <w:sz w:val="22"/>
          <w:szCs w:val="22"/>
        </w:rPr>
        <w:t xml:space="preserve"> Scientific </w:t>
      </w:r>
      <w:r w:rsidR="00FE0A01" w:rsidRPr="00FE0A01">
        <w:rPr>
          <w:rFonts w:asciiTheme="majorHAnsi" w:hAnsiTheme="majorHAnsi"/>
          <w:sz w:val="22"/>
          <w:szCs w:val="22"/>
        </w:rPr>
        <w:t>Curator to each CPIC guid</w:t>
      </w:r>
      <w:r w:rsidR="00FE0A01">
        <w:rPr>
          <w:rFonts w:asciiTheme="majorHAnsi" w:hAnsiTheme="majorHAnsi"/>
          <w:sz w:val="22"/>
          <w:szCs w:val="22"/>
        </w:rPr>
        <w:t>eline writing committee to search, compile</w:t>
      </w:r>
      <w:r w:rsidR="00FE0A01" w:rsidRPr="00FE0A01">
        <w:rPr>
          <w:rFonts w:asciiTheme="majorHAnsi" w:hAnsiTheme="majorHAnsi"/>
          <w:sz w:val="22"/>
          <w:szCs w:val="22"/>
        </w:rPr>
        <w:t xml:space="preserve"> </w:t>
      </w:r>
      <w:r w:rsidR="00FE0A01">
        <w:rPr>
          <w:rFonts w:asciiTheme="majorHAnsi" w:hAnsiTheme="majorHAnsi"/>
          <w:sz w:val="22"/>
          <w:szCs w:val="22"/>
        </w:rPr>
        <w:t xml:space="preserve">and evaluate the evidence for </w:t>
      </w:r>
      <w:r>
        <w:rPr>
          <w:rFonts w:asciiTheme="majorHAnsi" w:hAnsiTheme="majorHAnsi"/>
          <w:sz w:val="22"/>
          <w:szCs w:val="22"/>
        </w:rPr>
        <w:t>the gene-drug pair. C</w:t>
      </w:r>
      <w:r w:rsidR="00FE0A01">
        <w:rPr>
          <w:rFonts w:asciiTheme="majorHAnsi" w:hAnsiTheme="majorHAnsi"/>
          <w:sz w:val="22"/>
          <w:szCs w:val="22"/>
        </w:rPr>
        <w:t xml:space="preserve">urators </w:t>
      </w:r>
      <w:r w:rsidR="00FE0A01" w:rsidRPr="00FE0A01">
        <w:rPr>
          <w:rFonts w:asciiTheme="majorHAnsi" w:hAnsiTheme="majorHAnsi"/>
          <w:sz w:val="22"/>
          <w:szCs w:val="22"/>
        </w:rPr>
        <w:t>take primary responsibility for completing background gene and</w:t>
      </w:r>
      <w:r w:rsidR="00FE0A01">
        <w:rPr>
          <w:rFonts w:asciiTheme="majorHAnsi" w:hAnsiTheme="majorHAnsi"/>
          <w:sz w:val="22"/>
          <w:szCs w:val="22"/>
        </w:rPr>
        <w:t xml:space="preserve"> </w:t>
      </w:r>
      <w:r w:rsidR="00FE0A01" w:rsidRPr="00FE0A01">
        <w:rPr>
          <w:rFonts w:asciiTheme="majorHAnsi" w:hAnsiTheme="majorHAnsi"/>
          <w:sz w:val="22"/>
          <w:szCs w:val="22"/>
        </w:rPr>
        <w:t xml:space="preserve">drug summaries, </w:t>
      </w:r>
      <w:r w:rsidR="004A1930">
        <w:rPr>
          <w:rFonts w:asciiTheme="majorHAnsi" w:hAnsiTheme="majorHAnsi"/>
          <w:sz w:val="22"/>
          <w:szCs w:val="22"/>
        </w:rPr>
        <w:t xml:space="preserve">conducting </w:t>
      </w:r>
      <w:r w:rsidR="004A1930" w:rsidRPr="00FE0A01">
        <w:rPr>
          <w:rFonts w:asciiTheme="majorHAnsi" w:hAnsiTheme="majorHAnsi"/>
          <w:sz w:val="22"/>
          <w:szCs w:val="22"/>
        </w:rPr>
        <w:t>literatu</w:t>
      </w:r>
      <w:r w:rsidR="004A1930">
        <w:rPr>
          <w:rFonts w:asciiTheme="majorHAnsi" w:hAnsiTheme="majorHAnsi"/>
          <w:sz w:val="22"/>
          <w:szCs w:val="22"/>
        </w:rPr>
        <w:t xml:space="preserve">re review, </w:t>
      </w:r>
      <w:r w:rsidR="00FE0A01" w:rsidRPr="00FE0A01">
        <w:rPr>
          <w:rFonts w:asciiTheme="majorHAnsi" w:hAnsiTheme="majorHAnsi"/>
          <w:sz w:val="22"/>
          <w:szCs w:val="22"/>
        </w:rPr>
        <w:t>assigning likel</w:t>
      </w:r>
      <w:r w:rsidR="00FE0A01">
        <w:rPr>
          <w:rFonts w:asciiTheme="majorHAnsi" w:hAnsiTheme="majorHAnsi"/>
          <w:sz w:val="22"/>
          <w:szCs w:val="22"/>
        </w:rPr>
        <w:t>y phenotypes based on genotypes</w:t>
      </w:r>
      <w:r w:rsidR="00FE0A01" w:rsidRPr="00FE0A01">
        <w:rPr>
          <w:rFonts w:asciiTheme="majorHAnsi" w:hAnsiTheme="majorHAnsi"/>
          <w:sz w:val="22"/>
          <w:szCs w:val="22"/>
        </w:rPr>
        <w:t xml:space="preserve">, </w:t>
      </w:r>
      <w:r w:rsidR="00FE0A01">
        <w:rPr>
          <w:rFonts w:asciiTheme="majorHAnsi" w:hAnsiTheme="majorHAnsi"/>
          <w:sz w:val="22"/>
          <w:szCs w:val="22"/>
        </w:rPr>
        <w:t xml:space="preserve">as well as preparing </w:t>
      </w:r>
      <w:r w:rsidR="00FE0A01" w:rsidRPr="00FE0A01">
        <w:rPr>
          <w:rFonts w:asciiTheme="majorHAnsi" w:hAnsiTheme="majorHAnsi"/>
          <w:sz w:val="22"/>
          <w:szCs w:val="22"/>
        </w:rPr>
        <w:t>supplementary material</w:t>
      </w:r>
      <w:r w:rsidR="004A1930">
        <w:rPr>
          <w:rFonts w:asciiTheme="majorHAnsi" w:hAnsiTheme="majorHAnsi"/>
          <w:sz w:val="22"/>
          <w:szCs w:val="22"/>
        </w:rPr>
        <w:t>s</w:t>
      </w:r>
      <w:r w:rsidR="00FE0A01" w:rsidRPr="00FE0A01">
        <w:rPr>
          <w:rFonts w:asciiTheme="majorHAnsi" w:hAnsiTheme="majorHAnsi"/>
          <w:sz w:val="22"/>
          <w:szCs w:val="22"/>
        </w:rPr>
        <w:t xml:space="preserve"> </w:t>
      </w:r>
      <w:r w:rsidR="004A1930">
        <w:rPr>
          <w:rFonts w:asciiTheme="majorHAnsi" w:hAnsiTheme="majorHAnsi"/>
          <w:sz w:val="22"/>
          <w:szCs w:val="22"/>
        </w:rPr>
        <w:t xml:space="preserve">for </w:t>
      </w:r>
      <w:r w:rsidR="00FE0A01">
        <w:rPr>
          <w:rFonts w:asciiTheme="majorHAnsi" w:hAnsiTheme="majorHAnsi"/>
          <w:sz w:val="22"/>
          <w:szCs w:val="22"/>
        </w:rPr>
        <w:t>each guideline. CPIC guidelines are simultaneously published and maintained on PharmGKB website</w:t>
      </w:r>
      <w:r>
        <w:rPr>
          <w:rFonts w:asciiTheme="majorHAnsi" w:hAnsiTheme="majorHAnsi"/>
          <w:sz w:val="22"/>
          <w:szCs w:val="22"/>
        </w:rPr>
        <w:t xml:space="preserve">, in both plain text as well as </w:t>
      </w:r>
      <w:r w:rsidR="00FE0A01" w:rsidRPr="00FE0A01">
        <w:rPr>
          <w:rFonts w:asciiTheme="majorHAnsi" w:hAnsiTheme="majorHAnsi"/>
          <w:sz w:val="22"/>
          <w:szCs w:val="22"/>
        </w:rPr>
        <w:t xml:space="preserve">computable </w:t>
      </w:r>
      <w:r w:rsidR="00FE0A01">
        <w:rPr>
          <w:rFonts w:asciiTheme="majorHAnsi" w:hAnsiTheme="majorHAnsi"/>
          <w:sz w:val="22"/>
          <w:szCs w:val="22"/>
        </w:rPr>
        <w:t xml:space="preserve">form </w:t>
      </w:r>
      <w:r>
        <w:rPr>
          <w:rFonts w:asciiTheme="majorHAnsi" w:hAnsiTheme="majorHAnsi"/>
          <w:sz w:val="22"/>
          <w:szCs w:val="22"/>
        </w:rPr>
        <w:t xml:space="preserve">for easy integration into clinical decision </w:t>
      </w:r>
      <w:r w:rsidR="004A1930">
        <w:rPr>
          <w:rFonts w:asciiTheme="majorHAnsi" w:hAnsiTheme="majorHAnsi"/>
          <w:sz w:val="22"/>
          <w:szCs w:val="22"/>
        </w:rPr>
        <w:t xml:space="preserve">support </w:t>
      </w:r>
      <w:r>
        <w:rPr>
          <w:rFonts w:asciiTheme="majorHAnsi" w:hAnsiTheme="majorHAnsi"/>
          <w:sz w:val="22"/>
          <w:szCs w:val="22"/>
        </w:rPr>
        <w:t>tools.</w:t>
      </w:r>
    </w:p>
    <w:p w14:paraId="48A9E45A" w14:textId="77777777" w:rsidR="000440FC" w:rsidRDefault="000440FC" w:rsidP="00136140">
      <w:pPr>
        <w:ind w:left="360"/>
        <w:rPr>
          <w:rFonts w:asciiTheme="majorHAnsi" w:hAnsiTheme="majorHAnsi"/>
          <w:sz w:val="22"/>
          <w:szCs w:val="22"/>
        </w:rPr>
      </w:pPr>
    </w:p>
    <w:p w14:paraId="38AA33D1" w14:textId="77777777" w:rsidR="00AE2117" w:rsidRDefault="00AE2117" w:rsidP="00136140">
      <w:pPr>
        <w:ind w:left="360"/>
        <w:rPr>
          <w:rFonts w:asciiTheme="majorHAnsi" w:hAnsiTheme="majorHAnsi"/>
          <w:sz w:val="22"/>
          <w:szCs w:val="22"/>
        </w:rPr>
      </w:pPr>
      <w:r>
        <w:rPr>
          <w:rFonts w:asciiTheme="majorHAnsi" w:hAnsiTheme="majorHAnsi"/>
          <w:sz w:val="22"/>
          <w:szCs w:val="22"/>
        </w:rPr>
        <w:t>For a list of current PharmGKB clinical annotations</w:t>
      </w:r>
      <w:r w:rsidRPr="00893B0D">
        <w:rPr>
          <w:rFonts w:asciiTheme="majorHAnsi" w:hAnsiTheme="majorHAnsi"/>
          <w:sz w:val="22"/>
          <w:szCs w:val="22"/>
        </w:rPr>
        <w:t xml:space="preserve">: </w:t>
      </w:r>
      <w:hyperlink r:id="rId13" w:history="1">
        <w:r w:rsidRPr="00A97CAB">
          <w:rPr>
            <w:rStyle w:val="Hyperlink"/>
            <w:rFonts w:asciiTheme="majorHAnsi" w:hAnsiTheme="majorHAnsi"/>
            <w:sz w:val="22"/>
            <w:szCs w:val="22"/>
          </w:rPr>
          <w:t>http://www.pharmgkb.org/search/clinicalAnnotationList.action?levelOfEvidence=top</w:t>
        </w:r>
      </w:hyperlink>
    </w:p>
    <w:p w14:paraId="7492AF64" w14:textId="77777777" w:rsidR="00B17ED6" w:rsidRDefault="00B17ED6" w:rsidP="00136140">
      <w:pPr>
        <w:ind w:left="360"/>
        <w:rPr>
          <w:rFonts w:asciiTheme="majorHAnsi" w:hAnsiTheme="majorHAnsi"/>
          <w:sz w:val="22"/>
          <w:szCs w:val="22"/>
        </w:rPr>
      </w:pPr>
      <w:r>
        <w:rPr>
          <w:rFonts w:asciiTheme="majorHAnsi" w:hAnsiTheme="majorHAnsi"/>
          <w:sz w:val="22"/>
          <w:szCs w:val="22"/>
        </w:rPr>
        <w:t xml:space="preserve">For a list of well known </w:t>
      </w:r>
      <w:r w:rsidRPr="00B17ED6">
        <w:rPr>
          <w:rFonts w:asciiTheme="majorHAnsi" w:hAnsiTheme="majorHAnsi"/>
          <w:sz w:val="22"/>
          <w:szCs w:val="22"/>
        </w:rPr>
        <w:t>Pharmacogenomic Associations</w:t>
      </w:r>
      <w:r>
        <w:rPr>
          <w:rFonts w:asciiTheme="majorHAnsi" w:hAnsiTheme="majorHAnsi"/>
          <w:sz w:val="22"/>
          <w:szCs w:val="22"/>
        </w:rPr>
        <w:t>:</w:t>
      </w:r>
    </w:p>
    <w:p w14:paraId="3A5F80B2" w14:textId="77777777" w:rsidR="00B17ED6" w:rsidRDefault="001813E3" w:rsidP="00136140">
      <w:pPr>
        <w:ind w:left="360"/>
        <w:rPr>
          <w:rFonts w:asciiTheme="majorHAnsi" w:hAnsiTheme="majorHAnsi"/>
          <w:sz w:val="22"/>
          <w:szCs w:val="22"/>
        </w:rPr>
      </w:pPr>
      <w:hyperlink r:id="rId14" w:history="1">
        <w:r w:rsidR="00B17ED6" w:rsidRPr="00B17ED6">
          <w:rPr>
            <w:rStyle w:val="Hyperlink"/>
            <w:rFonts w:asciiTheme="majorHAnsi" w:hAnsiTheme="majorHAnsi"/>
            <w:sz w:val="22"/>
            <w:szCs w:val="22"/>
          </w:rPr>
          <w:t>http://www.pharmgkb.org/search/knownPairs.action</w:t>
        </w:r>
      </w:hyperlink>
    </w:p>
    <w:p w14:paraId="7CD8FFC2" w14:textId="77777777" w:rsidR="00C22791" w:rsidRDefault="00C22791" w:rsidP="00136140">
      <w:pPr>
        <w:ind w:left="360"/>
        <w:rPr>
          <w:rFonts w:asciiTheme="majorHAnsi" w:hAnsiTheme="majorHAnsi"/>
          <w:sz w:val="22"/>
          <w:szCs w:val="22"/>
        </w:rPr>
      </w:pPr>
      <w:r>
        <w:rPr>
          <w:rFonts w:asciiTheme="majorHAnsi" w:hAnsiTheme="majorHAnsi"/>
          <w:sz w:val="22"/>
          <w:szCs w:val="22"/>
        </w:rPr>
        <w:t>For a list of PGx drug dosing guidelines:</w:t>
      </w:r>
    </w:p>
    <w:p w14:paraId="2BD8A02D" w14:textId="77777777" w:rsidR="00C22791" w:rsidRDefault="001813E3" w:rsidP="00C22791">
      <w:pPr>
        <w:ind w:left="360"/>
        <w:rPr>
          <w:rFonts w:asciiTheme="majorHAnsi" w:hAnsiTheme="majorHAnsi"/>
          <w:sz w:val="22"/>
          <w:szCs w:val="22"/>
        </w:rPr>
      </w:pPr>
      <w:hyperlink r:id="rId15" w:history="1">
        <w:r w:rsidR="00C22791" w:rsidRPr="00A97CAB">
          <w:rPr>
            <w:rStyle w:val="Hyperlink"/>
            <w:rFonts w:asciiTheme="majorHAnsi" w:hAnsiTheme="majorHAnsi"/>
            <w:sz w:val="22"/>
            <w:szCs w:val="22"/>
          </w:rPr>
          <w:t>http://www.pharmgkb.org/view/dosing-guidelines.do</w:t>
        </w:r>
      </w:hyperlink>
    </w:p>
    <w:p w14:paraId="3085AB00" w14:textId="77777777" w:rsidR="00C22791" w:rsidRDefault="00C22791" w:rsidP="00C22791">
      <w:pPr>
        <w:ind w:left="360"/>
        <w:rPr>
          <w:rFonts w:asciiTheme="majorHAnsi" w:hAnsiTheme="majorHAnsi"/>
          <w:sz w:val="22"/>
          <w:szCs w:val="22"/>
        </w:rPr>
      </w:pPr>
      <w:r>
        <w:rPr>
          <w:rFonts w:asciiTheme="majorHAnsi" w:hAnsiTheme="majorHAnsi"/>
          <w:sz w:val="22"/>
          <w:szCs w:val="22"/>
        </w:rPr>
        <w:t>For a list of PharmGKB VIP genes:</w:t>
      </w:r>
    </w:p>
    <w:p w14:paraId="12FDF1E0" w14:textId="77777777" w:rsidR="00C22791" w:rsidRDefault="001813E3" w:rsidP="00136140">
      <w:pPr>
        <w:ind w:left="360"/>
        <w:rPr>
          <w:rFonts w:asciiTheme="majorHAnsi" w:hAnsiTheme="majorHAnsi"/>
          <w:sz w:val="22"/>
          <w:szCs w:val="22"/>
        </w:rPr>
      </w:pPr>
      <w:hyperlink r:id="rId16" w:history="1">
        <w:r w:rsidR="00C22791" w:rsidRPr="00A97CAB">
          <w:rPr>
            <w:rStyle w:val="Hyperlink"/>
            <w:rFonts w:asciiTheme="majorHAnsi" w:hAnsiTheme="majorHAnsi"/>
            <w:sz w:val="22"/>
            <w:szCs w:val="22"/>
          </w:rPr>
          <w:t>http://www.pharmgkb.org/search/browseVip.action?browseKey=vipGenes</w:t>
        </w:r>
      </w:hyperlink>
    </w:p>
    <w:p w14:paraId="3334CDCE" w14:textId="77777777" w:rsidR="00C22791" w:rsidRDefault="00C22791" w:rsidP="00136140">
      <w:pPr>
        <w:ind w:left="360"/>
        <w:rPr>
          <w:rFonts w:asciiTheme="majorHAnsi" w:hAnsiTheme="majorHAnsi"/>
          <w:sz w:val="22"/>
          <w:szCs w:val="22"/>
        </w:rPr>
      </w:pPr>
      <w:r>
        <w:rPr>
          <w:rFonts w:asciiTheme="majorHAnsi" w:hAnsiTheme="majorHAnsi"/>
          <w:sz w:val="22"/>
          <w:szCs w:val="22"/>
        </w:rPr>
        <w:t>For a list of PharmGKB pathways:</w:t>
      </w:r>
    </w:p>
    <w:p w14:paraId="0BC830DB" w14:textId="77777777" w:rsidR="00C22791" w:rsidRDefault="001813E3" w:rsidP="00136140">
      <w:pPr>
        <w:ind w:left="360"/>
        <w:rPr>
          <w:rFonts w:asciiTheme="majorHAnsi" w:hAnsiTheme="majorHAnsi"/>
          <w:sz w:val="22"/>
          <w:szCs w:val="22"/>
        </w:rPr>
      </w:pPr>
      <w:hyperlink r:id="rId17" w:history="1">
        <w:r w:rsidR="00C22791" w:rsidRPr="00A97CAB">
          <w:rPr>
            <w:rStyle w:val="Hyperlink"/>
            <w:rFonts w:asciiTheme="majorHAnsi" w:hAnsiTheme="majorHAnsi"/>
            <w:sz w:val="22"/>
            <w:szCs w:val="22"/>
          </w:rPr>
          <w:t>http://www.pharmgkb.org/search/browse/pathways.action</w:t>
        </w:r>
      </w:hyperlink>
    </w:p>
    <w:p w14:paraId="1A06ECF2" w14:textId="77777777" w:rsidR="00C22791" w:rsidRPr="00B17ED6" w:rsidRDefault="00C22791" w:rsidP="00136140">
      <w:pPr>
        <w:ind w:left="360"/>
        <w:rPr>
          <w:rFonts w:asciiTheme="majorHAnsi" w:hAnsiTheme="majorHAnsi"/>
          <w:sz w:val="22"/>
          <w:szCs w:val="22"/>
        </w:rPr>
      </w:pPr>
    </w:p>
    <w:p w14:paraId="551914AF" w14:textId="77777777" w:rsidR="001712AC" w:rsidRDefault="001712AC" w:rsidP="00136140">
      <w:pPr>
        <w:ind w:left="360"/>
        <w:rPr>
          <w:rFonts w:asciiTheme="majorHAnsi" w:hAnsiTheme="majorHAnsi"/>
          <w:b/>
          <w:sz w:val="22"/>
          <w:szCs w:val="22"/>
        </w:rPr>
      </w:pPr>
    </w:p>
    <w:p w14:paraId="16BCB9E9" w14:textId="4FDBC113" w:rsidR="00FF33BC" w:rsidRDefault="001712AC" w:rsidP="00136140">
      <w:pPr>
        <w:ind w:left="360"/>
        <w:rPr>
          <w:rFonts w:asciiTheme="majorHAnsi" w:hAnsiTheme="majorHAnsi"/>
          <w:b/>
          <w:sz w:val="22"/>
          <w:szCs w:val="22"/>
        </w:rPr>
      </w:pPr>
      <w:r>
        <w:rPr>
          <w:rFonts w:asciiTheme="majorHAnsi" w:hAnsiTheme="majorHAnsi"/>
          <w:b/>
          <w:sz w:val="22"/>
          <w:szCs w:val="22"/>
        </w:rPr>
        <w:t>Sample ClinVar Submission</w:t>
      </w:r>
      <w:r w:rsidR="009F77B8">
        <w:rPr>
          <w:rFonts w:asciiTheme="majorHAnsi" w:hAnsiTheme="majorHAnsi"/>
          <w:b/>
          <w:sz w:val="22"/>
          <w:szCs w:val="22"/>
        </w:rPr>
        <w:t xml:space="preserve"> was provided. </w:t>
      </w:r>
      <w:r w:rsidR="00FB1B91" w:rsidRPr="004A7982">
        <w:rPr>
          <w:rFonts w:asciiTheme="majorHAnsi" w:hAnsiTheme="majorHAnsi"/>
          <w:b/>
          <w:sz w:val="22"/>
          <w:szCs w:val="22"/>
        </w:rPr>
        <w:br w:type="page"/>
      </w:r>
      <w:bookmarkStart w:id="0" w:name="_GoBack"/>
      <w:bookmarkEnd w:id="0"/>
      <w:r w:rsidR="00FB1B91" w:rsidRPr="004A7982">
        <w:rPr>
          <w:rFonts w:asciiTheme="majorHAnsi" w:hAnsiTheme="majorHAnsi"/>
          <w:b/>
          <w:sz w:val="22"/>
          <w:szCs w:val="22"/>
        </w:rPr>
        <w:t>5.  Please list relevant publication</w:t>
      </w:r>
      <w:r w:rsidR="00733102" w:rsidRPr="004A7982">
        <w:rPr>
          <w:rFonts w:asciiTheme="majorHAnsi" w:hAnsiTheme="majorHAnsi"/>
          <w:b/>
          <w:sz w:val="22"/>
          <w:szCs w:val="22"/>
        </w:rPr>
        <w:t>(</w:t>
      </w:r>
      <w:r w:rsidR="00FB1B91" w:rsidRPr="004A7982">
        <w:rPr>
          <w:rFonts w:asciiTheme="majorHAnsi" w:hAnsiTheme="majorHAnsi"/>
          <w:b/>
          <w:sz w:val="22"/>
          <w:szCs w:val="22"/>
        </w:rPr>
        <w:t>s</w:t>
      </w:r>
      <w:r w:rsidR="00733102" w:rsidRPr="004A7982">
        <w:rPr>
          <w:rFonts w:asciiTheme="majorHAnsi" w:hAnsiTheme="majorHAnsi"/>
          <w:b/>
          <w:sz w:val="22"/>
          <w:szCs w:val="22"/>
        </w:rPr>
        <w:t>)</w:t>
      </w:r>
      <w:r w:rsidR="00FB1B91" w:rsidRPr="004A7982">
        <w:rPr>
          <w:rFonts w:asciiTheme="majorHAnsi" w:hAnsiTheme="majorHAnsi"/>
          <w:b/>
          <w:sz w:val="22"/>
          <w:szCs w:val="22"/>
        </w:rPr>
        <w:t xml:space="preserve"> </w:t>
      </w:r>
      <w:r w:rsidR="00166C9F" w:rsidRPr="004A7982">
        <w:rPr>
          <w:rFonts w:asciiTheme="majorHAnsi" w:hAnsiTheme="majorHAnsi"/>
          <w:b/>
          <w:sz w:val="22"/>
          <w:szCs w:val="22"/>
        </w:rPr>
        <w:t>including PMID</w:t>
      </w:r>
      <w:r w:rsidR="00BC42F4" w:rsidRPr="004A7982">
        <w:rPr>
          <w:rFonts w:asciiTheme="majorHAnsi" w:hAnsiTheme="majorHAnsi"/>
          <w:b/>
          <w:sz w:val="22"/>
          <w:szCs w:val="22"/>
        </w:rPr>
        <w:t xml:space="preserve">/PMCID </w:t>
      </w:r>
      <w:r w:rsidR="00FB1B91" w:rsidRPr="004A7982">
        <w:rPr>
          <w:rFonts w:asciiTheme="majorHAnsi" w:hAnsiTheme="majorHAnsi"/>
          <w:b/>
          <w:sz w:val="22"/>
          <w:szCs w:val="22"/>
        </w:rPr>
        <w:t>which describe the variant classification</w:t>
      </w:r>
      <w:r w:rsidR="00BD274C" w:rsidRPr="004A7982">
        <w:rPr>
          <w:rFonts w:asciiTheme="majorHAnsi" w:hAnsiTheme="majorHAnsi"/>
          <w:b/>
          <w:sz w:val="22"/>
          <w:szCs w:val="22"/>
        </w:rPr>
        <w:t xml:space="preserve"> process in </w:t>
      </w:r>
      <w:r w:rsidR="00FB1B91" w:rsidRPr="004A7982">
        <w:rPr>
          <w:rFonts w:asciiTheme="majorHAnsi" w:hAnsiTheme="majorHAnsi"/>
          <w:b/>
          <w:sz w:val="22"/>
          <w:szCs w:val="22"/>
        </w:rPr>
        <w:t xml:space="preserve">detail and/or </w:t>
      </w:r>
      <w:r w:rsidR="00733102" w:rsidRPr="004A7982">
        <w:rPr>
          <w:rFonts w:asciiTheme="majorHAnsi" w:hAnsiTheme="majorHAnsi"/>
          <w:b/>
          <w:sz w:val="22"/>
          <w:szCs w:val="22"/>
        </w:rPr>
        <w:t xml:space="preserve">a </w:t>
      </w:r>
      <w:r w:rsidR="00FB1B91" w:rsidRPr="004A7982">
        <w:rPr>
          <w:rFonts w:asciiTheme="majorHAnsi" w:hAnsiTheme="majorHAnsi"/>
          <w:b/>
          <w:sz w:val="22"/>
          <w:szCs w:val="22"/>
        </w:rPr>
        <w:t>publically accessible website which provides this information for the ClinGen Executive Committee and individuals using ClinVar:</w:t>
      </w:r>
    </w:p>
    <w:p w14:paraId="6134E9BF" w14:textId="77777777" w:rsidR="00053324" w:rsidRDefault="00053324" w:rsidP="00136140">
      <w:pPr>
        <w:ind w:left="360"/>
        <w:rPr>
          <w:rFonts w:asciiTheme="majorHAnsi" w:hAnsiTheme="majorHAnsi"/>
          <w:sz w:val="22"/>
          <w:szCs w:val="22"/>
        </w:rPr>
      </w:pPr>
    </w:p>
    <w:p w14:paraId="45F836E1" w14:textId="77777777" w:rsidR="004D5A15" w:rsidRDefault="00053324" w:rsidP="00053324">
      <w:pPr>
        <w:rPr>
          <w:rFonts w:asciiTheme="majorHAnsi" w:hAnsiTheme="majorHAnsi"/>
          <w:sz w:val="22"/>
          <w:szCs w:val="22"/>
        </w:rPr>
      </w:pPr>
      <w:r>
        <w:rPr>
          <w:rFonts w:asciiTheme="majorHAnsi" w:hAnsiTheme="majorHAnsi"/>
          <w:sz w:val="22"/>
          <w:szCs w:val="22"/>
        </w:rPr>
        <w:t xml:space="preserve">       </w:t>
      </w:r>
      <w:r w:rsidRPr="00C85A9B">
        <w:rPr>
          <w:rFonts w:asciiTheme="majorHAnsi" w:hAnsiTheme="majorHAnsi"/>
          <w:b/>
          <w:sz w:val="22"/>
          <w:szCs w:val="22"/>
        </w:rPr>
        <w:t>PharmGKB annotation process description</w:t>
      </w:r>
      <w:r>
        <w:rPr>
          <w:rFonts w:asciiTheme="majorHAnsi" w:hAnsiTheme="majorHAnsi"/>
          <w:sz w:val="22"/>
          <w:szCs w:val="22"/>
        </w:rPr>
        <w:t xml:space="preserve">:  PMID </w:t>
      </w:r>
      <w:r>
        <w:t xml:space="preserve">22992668 </w:t>
      </w:r>
      <w:r>
        <w:rPr>
          <w:rFonts w:asciiTheme="majorHAnsi" w:hAnsiTheme="majorHAnsi"/>
          <w:sz w:val="22"/>
          <w:szCs w:val="22"/>
        </w:rPr>
        <w:t xml:space="preserve">       </w:t>
      </w:r>
    </w:p>
    <w:p w14:paraId="5E5E1E31" w14:textId="77777777" w:rsidR="00053324" w:rsidRDefault="004D5A15" w:rsidP="00053324">
      <w:r>
        <w:rPr>
          <w:rFonts w:asciiTheme="majorHAnsi" w:hAnsiTheme="majorHAnsi"/>
          <w:sz w:val="22"/>
          <w:szCs w:val="22"/>
        </w:rPr>
        <w:t xml:space="preserve">       </w:t>
      </w:r>
      <w:r w:rsidRPr="00C85A9B">
        <w:rPr>
          <w:rFonts w:asciiTheme="majorHAnsi" w:hAnsiTheme="majorHAnsi"/>
          <w:b/>
          <w:sz w:val="22"/>
          <w:szCs w:val="22"/>
        </w:rPr>
        <w:t>PharmGKB description:</w:t>
      </w:r>
      <w:r>
        <w:rPr>
          <w:rFonts w:asciiTheme="majorHAnsi" w:hAnsiTheme="majorHAnsi"/>
          <w:sz w:val="22"/>
          <w:szCs w:val="22"/>
        </w:rPr>
        <w:t xml:space="preserve"> PMID </w:t>
      </w:r>
      <w:r w:rsidR="00053324" w:rsidRPr="00053324">
        <w:rPr>
          <w:rFonts w:asciiTheme="majorHAnsi" w:hAnsiTheme="majorHAnsi"/>
          <w:sz w:val="22"/>
          <w:szCs w:val="22"/>
        </w:rPr>
        <w:t>23824865</w:t>
      </w:r>
      <w:r w:rsidR="00053324">
        <w:rPr>
          <w:rFonts w:asciiTheme="majorHAnsi" w:hAnsiTheme="majorHAnsi"/>
          <w:sz w:val="22"/>
          <w:szCs w:val="22"/>
        </w:rPr>
        <w:t xml:space="preserve"> </w:t>
      </w:r>
    </w:p>
    <w:p w14:paraId="5BB93071" w14:textId="77777777" w:rsidR="00C85A9B" w:rsidRPr="00C85A9B" w:rsidRDefault="004D5A15" w:rsidP="00C85A9B">
      <w:pPr>
        <w:ind w:left="360"/>
        <w:rPr>
          <w:rFonts w:asciiTheme="majorHAnsi" w:eastAsia="Times New Roman" w:hAnsiTheme="majorHAnsi"/>
          <w:sz w:val="22"/>
          <w:szCs w:val="22"/>
          <w:lang w:eastAsia="zh-CN"/>
        </w:rPr>
      </w:pPr>
      <w:r w:rsidRPr="00C85A9B">
        <w:rPr>
          <w:rFonts w:asciiTheme="majorHAnsi" w:hAnsiTheme="majorHAnsi"/>
          <w:b/>
          <w:sz w:val="22"/>
          <w:szCs w:val="22"/>
        </w:rPr>
        <w:t>PharmGKB pathways:</w:t>
      </w:r>
      <w:r w:rsidRPr="00C85A9B">
        <w:rPr>
          <w:rFonts w:asciiTheme="majorHAnsi" w:hAnsiTheme="majorHAnsi"/>
          <w:sz w:val="22"/>
          <w:szCs w:val="22"/>
        </w:rPr>
        <w:t xml:space="preserve"> PMID    24915143, 24849324,    24625462, 24220207, 24128936, 23962908,    23913015,    23788015, </w:t>
      </w:r>
      <w:r w:rsidRPr="00C85A9B">
        <w:rPr>
          <w:rFonts w:asciiTheme="majorHAnsi" w:eastAsia="Times New Roman" w:hAnsiTheme="majorHAnsi"/>
          <w:sz w:val="22"/>
          <w:szCs w:val="22"/>
          <w:lang w:eastAsia="zh-CN"/>
        </w:rPr>
        <w:t xml:space="preserve">23407051, </w:t>
      </w:r>
      <w:r w:rsidRPr="00C85A9B">
        <w:rPr>
          <w:rFonts w:asciiTheme="majorHAnsi" w:hAnsiTheme="majorHAnsi"/>
          <w:sz w:val="22"/>
          <w:szCs w:val="22"/>
        </w:rPr>
        <w:t xml:space="preserve">22960662, </w:t>
      </w:r>
      <w:r w:rsidR="00C85A9B" w:rsidRPr="00C85A9B">
        <w:rPr>
          <w:rFonts w:asciiTheme="majorHAnsi" w:hAnsiTheme="majorHAnsi"/>
          <w:sz w:val="22"/>
          <w:szCs w:val="22"/>
        </w:rPr>
        <w:t xml:space="preserve">2722338, </w:t>
      </w:r>
      <w:r w:rsidRPr="00C85A9B">
        <w:rPr>
          <w:rFonts w:asciiTheme="majorHAnsi" w:eastAsia="Times New Roman" w:hAnsiTheme="majorHAnsi"/>
          <w:sz w:val="22"/>
          <w:szCs w:val="22"/>
          <w:lang w:eastAsia="zh-CN"/>
        </w:rPr>
        <w:t xml:space="preserve">22569204, </w:t>
      </w:r>
      <w:r w:rsidR="00C85A9B" w:rsidRPr="00C85A9B">
        <w:rPr>
          <w:rFonts w:asciiTheme="majorHAnsi" w:eastAsia="Times New Roman" w:hAnsiTheme="majorHAnsi"/>
          <w:sz w:val="22"/>
          <w:szCs w:val="22"/>
          <w:lang w:eastAsia="zh-CN"/>
        </w:rPr>
        <w:t xml:space="preserve">22336956, </w:t>
      </w:r>
      <w:r w:rsidRPr="00C85A9B">
        <w:rPr>
          <w:rFonts w:asciiTheme="majorHAnsi" w:hAnsiTheme="majorHAnsi"/>
          <w:sz w:val="22"/>
          <w:szCs w:val="22"/>
        </w:rPr>
        <w:t xml:space="preserve">22293536, 21738081, </w:t>
      </w:r>
      <w:r w:rsidRPr="00C85A9B">
        <w:rPr>
          <w:rFonts w:asciiTheme="majorHAnsi" w:eastAsia="Times New Roman" w:hAnsiTheme="majorHAnsi"/>
          <w:sz w:val="22"/>
          <w:szCs w:val="22"/>
          <w:lang w:eastAsia="zh-CN"/>
        </w:rPr>
        <w:t xml:space="preserve">21546862, </w:t>
      </w:r>
      <w:r w:rsidRPr="00C85A9B">
        <w:rPr>
          <w:rFonts w:asciiTheme="majorHAnsi" w:hAnsiTheme="majorHAnsi"/>
          <w:sz w:val="22"/>
          <w:szCs w:val="22"/>
        </w:rPr>
        <w:t xml:space="preserve">21317831, </w:t>
      </w:r>
      <w:r w:rsidRPr="00C85A9B">
        <w:rPr>
          <w:rFonts w:asciiTheme="majorHAnsi" w:eastAsia="Times New Roman" w:hAnsiTheme="majorHAnsi"/>
          <w:sz w:val="22"/>
          <w:szCs w:val="22"/>
          <w:lang w:eastAsia="zh-CN"/>
        </w:rPr>
        <w:t xml:space="preserve">20938371, </w:t>
      </w:r>
      <w:r w:rsidRPr="00C85A9B">
        <w:rPr>
          <w:rFonts w:asciiTheme="majorHAnsi" w:hAnsiTheme="majorHAnsi"/>
          <w:sz w:val="22"/>
          <w:szCs w:val="22"/>
        </w:rPr>
        <w:t xml:space="preserve">20440227, 20124951, </w:t>
      </w:r>
      <w:r w:rsidRPr="00C85A9B">
        <w:rPr>
          <w:rFonts w:asciiTheme="majorHAnsi" w:eastAsia="Times New Roman" w:hAnsiTheme="majorHAnsi"/>
          <w:sz w:val="22"/>
          <w:szCs w:val="22"/>
          <w:lang w:eastAsia="zh-CN"/>
        </w:rPr>
        <w:t xml:space="preserve">20023594, 19952870, 19741567, </w:t>
      </w:r>
      <w:r w:rsidRPr="00C85A9B">
        <w:rPr>
          <w:rFonts w:asciiTheme="majorHAnsi" w:hAnsiTheme="majorHAnsi"/>
          <w:sz w:val="22"/>
          <w:szCs w:val="22"/>
        </w:rPr>
        <w:t xml:space="preserve">19525887, </w:t>
      </w:r>
      <w:r w:rsidRPr="00C85A9B">
        <w:rPr>
          <w:rFonts w:asciiTheme="majorHAnsi" w:eastAsia="Times New Roman" w:hAnsiTheme="majorHAnsi"/>
          <w:sz w:val="22"/>
          <w:szCs w:val="22"/>
          <w:lang w:eastAsia="zh-CN"/>
        </w:rPr>
        <w:t xml:space="preserve">19512958, </w:t>
      </w:r>
      <w:r w:rsidRPr="00C85A9B">
        <w:rPr>
          <w:rFonts w:asciiTheme="majorHAnsi" w:hAnsiTheme="majorHAnsi"/>
          <w:sz w:val="22"/>
          <w:szCs w:val="22"/>
        </w:rPr>
        <w:t xml:space="preserve">19512957, </w:t>
      </w:r>
      <w:r w:rsidRPr="00C85A9B">
        <w:rPr>
          <w:rFonts w:asciiTheme="majorHAnsi" w:eastAsia="Times New Roman" w:hAnsiTheme="majorHAnsi"/>
          <w:sz w:val="22"/>
          <w:szCs w:val="22"/>
          <w:lang w:eastAsia="zh-CN"/>
        </w:rPr>
        <w:t>19512956</w:t>
      </w:r>
      <w:r w:rsidR="00C85A9B" w:rsidRPr="00C85A9B">
        <w:rPr>
          <w:rFonts w:asciiTheme="majorHAnsi" w:eastAsia="Times New Roman" w:hAnsiTheme="majorHAnsi"/>
          <w:sz w:val="22"/>
          <w:szCs w:val="22"/>
          <w:lang w:eastAsia="zh-CN"/>
        </w:rPr>
        <w:t>,</w:t>
      </w:r>
      <w:r w:rsidR="00C85A9B" w:rsidRPr="00C85A9B">
        <w:rPr>
          <w:rFonts w:asciiTheme="majorHAnsi" w:hAnsiTheme="majorHAnsi"/>
          <w:sz w:val="22"/>
          <w:szCs w:val="22"/>
        </w:rPr>
        <w:t xml:space="preserve"> </w:t>
      </w:r>
      <w:r w:rsidR="00C85A9B" w:rsidRPr="00C85A9B">
        <w:rPr>
          <w:rFonts w:asciiTheme="majorHAnsi" w:eastAsia="Times New Roman" w:hAnsiTheme="majorHAnsi"/>
          <w:sz w:val="22"/>
          <w:szCs w:val="22"/>
          <w:lang w:eastAsia="zh-CN"/>
        </w:rPr>
        <w:t>21048526</w:t>
      </w:r>
      <w:r w:rsidR="0090758B">
        <w:rPr>
          <w:rFonts w:asciiTheme="majorHAnsi" w:eastAsia="Times New Roman" w:hAnsiTheme="majorHAnsi"/>
          <w:sz w:val="22"/>
          <w:szCs w:val="22"/>
          <w:lang w:eastAsia="zh-CN"/>
        </w:rPr>
        <w:t xml:space="preserve">, </w:t>
      </w:r>
      <w:r w:rsidR="0090758B">
        <w:t>24401834</w:t>
      </w:r>
    </w:p>
    <w:p w14:paraId="6A843571" w14:textId="77777777" w:rsidR="00C85A9B" w:rsidRDefault="004D5A15" w:rsidP="00C85A9B">
      <w:pPr>
        <w:tabs>
          <w:tab w:val="left" w:pos="360"/>
        </w:tabs>
        <w:ind w:left="360"/>
        <w:rPr>
          <w:rFonts w:asciiTheme="majorHAnsi" w:eastAsia="Times New Roman" w:hAnsiTheme="majorHAnsi"/>
          <w:sz w:val="22"/>
          <w:szCs w:val="22"/>
          <w:lang w:eastAsia="zh-CN"/>
        </w:rPr>
      </w:pPr>
      <w:r w:rsidRPr="00C85A9B">
        <w:rPr>
          <w:rFonts w:asciiTheme="majorHAnsi" w:hAnsiTheme="majorHAnsi"/>
          <w:b/>
          <w:sz w:val="22"/>
          <w:szCs w:val="22"/>
        </w:rPr>
        <w:t>PharmGKB VIPs:</w:t>
      </w:r>
      <w:r w:rsidRPr="00C85A9B">
        <w:rPr>
          <w:rFonts w:asciiTheme="majorHAnsi" w:hAnsiTheme="majorHAnsi"/>
          <w:sz w:val="22"/>
          <w:szCs w:val="22"/>
        </w:rPr>
        <w:t xml:space="preserve"> PMID</w:t>
      </w:r>
      <w:r w:rsidR="00E8381F">
        <w:rPr>
          <w:rFonts w:asciiTheme="majorHAnsi" w:hAnsiTheme="majorHAnsi"/>
          <w:sz w:val="22"/>
          <w:szCs w:val="22"/>
        </w:rPr>
        <w:t xml:space="preserve">  </w:t>
      </w:r>
      <w:r w:rsidRPr="00C85A9B">
        <w:rPr>
          <w:rFonts w:asciiTheme="majorHAnsi" w:hAnsiTheme="majorHAnsi"/>
          <w:sz w:val="22"/>
          <w:szCs w:val="22"/>
        </w:rPr>
        <w:t xml:space="preserve">24892773,    24681965, 24492252, 23962911, </w:t>
      </w:r>
      <w:r w:rsidRPr="00C85A9B">
        <w:rPr>
          <w:rFonts w:asciiTheme="majorHAnsi" w:eastAsia="Times New Roman" w:hAnsiTheme="majorHAnsi"/>
          <w:sz w:val="22"/>
          <w:szCs w:val="22"/>
          <w:lang w:eastAsia="zh-CN"/>
        </w:rPr>
        <w:t xml:space="preserve">23962910, 22643671, 22588316, </w:t>
      </w:r>
      <w:r w:rsidRPr="00C85A9B">
        <w:rPr>
          <w:rFonts w:asciiTheme="majorHAnsi" w:hAnsiTheme="majorHAnsi"/>
          <w:sz w:val="22"/>
          <w:szCs w:val="22"/>
        </w:rPr>
        <w:t xml:space="preserve">22547082, </w:t>
      </w:r>
      <w:r w:rsidRPr="00C85A9B">
        <w:rPr>
          <w:rFonts w:asciiTheme="majorHAnsi" w:eastAsia="Times New Roman" w:hAnsiTheme="majorHAnsi"/>
          <w:sz w:val="22"/>
          <w:szCs w:val="22"/>
          <w:lang w:eastAsia="zh-CN"/>
        </w:rPr>
        <w:t xml:space="preserve">22407409, </w:t>
      </w:r>
      <w:r w:rsidRPr="00C85A9B">
        <w:rPr>
          <w:rFonts w:asciiTheme="majorHAnsi" w:hAnsiTheme="majorHAnsi"/>
          <w:sz w:val="22"/>
          <w:szCs w:val="22"/>
        </w:rPr>
        <w:t xml:space="preserve">22237549, 22027650, 21989077, </w:t>
      </w:r>
      <w:r w:rsidRPr="00C85A9B">
        <w:rPr>
          <w:rFonts w:asciiTheme="majorHAnsi" w:eastAsia="Times New Roman" w:hAnsiTheme="majorHAnsi"/>
          <w:sz w:val="22"/>
          <w:szCs w:val="22"/>
          <w:lang w:eastAsia="zh-CN"/>
        </w:rPr>
        <w:t>21063235,</w:t>
      </w:r>
      <w:r w:rsidRPr="00C85A9B">
        <w:rPr>
          <w:rFonts w:asciiTheme="majorHAnsi" w:hAnsiTheme="majorHAnsi"/>
          <w:sz w:val="22"/>
          <w:szCs w:val="22"/>
        </w:rPr>
        <w:t xml:space="preserve"> 20648701, </w:t>
      </w:r>
      <w:r w:rsidRPr="00C85A9B">
        <w:rPr>
          <w:rFonts w:asciiTheme="majorHAnsi" w:eastAsia="Times New Roman" w:hAnsiTheme="majorHAnsi"/>
          <w:sz w:val="22"/>
          <w:szCs w:val="22"/>
          <w:lang w:eastAsia="zh-CN"/>
        </w:rPr>
        <w:t>20216335,</w:t>
      </w:r>
      <w:r w:rsidRPr="00C85A9B">
        <w:rPr>
          <w:rFonts w:asciiTheme="majorHAnsi" w:hAnsiTheme="majorHAnsi"/>
          <w:sz w:val="22"/>
          <w:szCs w:val="22"/>
        </w:rPr>
        <w:t xml:space="preserve"> </w:t>
      </w:r>
      <w:r w:rsidRPr="00C85A9B">
        <w:rPr>
          <w:rFonts w:asciiTheme="majorHAnsi" w:eastAsia="Times New Roman" w:hAnsiTheme="majorHAnsi"/>
          <w:sz w:val="22"/>
          <w:szCs w:val="22"/>
          <w:lang w:eastAsia="zh-CN"/>
        </w:rPr>
        <w:t>20154640,</w:t>
      </w:r>
      <w:r w:rsidRPr="00C85A9B">
        <w:rPr>
          <w:rFonts w:asciiTheme="majorHAnsi" w:hAnsiTheme="majorHAnsi"/>
          <w:sz w:val="22"/>
          <w:szCs w:val="22"/>
        </w:rPr>
        <w:t xml:space="preserve"> 20084049, 19927042, </w:t>
      </w:r>
      <w:r w:rsidRPr="00C85A9B">
        <w:rPr>
          <w:rFonts w:asciiTheme="majorHAnsi" w:eastAsia="Times New Roman" w:hAnsiTheme="majorHAnsi"/>
          <w:sz w:val="22"/>
          <w:szCs w:val="22"/>
          <w:lang w:eastAsia="zh-CN"/>
        </w:rPr>
        <w:t>19898265,</w:t>
      </w:r>
      <w:r w:rsidRPr="00C85A9B">
        <w:rPr>
          <w:rFonts w:asciiTheme="majorHAnsi" w:hAnsiTheme="majorHAnsi"/>
          <w:sz w:val="22"/>
          <w:szCs w:val="22"/>
        </w:rPr>
        <w:t xml:space="preserve"> 19451861</w:t>
      </w:r>
      <w:r w:rsidR="00C85A9B" w:rsidRPr="00C85A9B">
        <w:rPr>
          <w:rFonts w:asciiTheme="majorHAnsi" w:hAnsiTheme="majorHAnsi"/>
          <w:sz w:val="22"/>
          <w:szCs w:val="22"/>
        </w:rPr>
        <w:t>, 19512959, 20739908, 20736885, 20150828, 20811316, 19952871, 19940803</w:t>
      </w:r>
    </w:p>
    <w:p w14:paraId="6D031A72" w14:textId="77777777" w:rsidR="004D5A15" w:rsidRPr="00C85A9B" w:rsidRDefault="004D5A15" w:rsidP="00C85A9B">
      <w:pPr>
        <w:tabs>
          <w:tab w:val="left" w:pos="360"/>
        </w:tabs>
        <w:ind w:left="360"/>
        <w:rPr>
          <w:rFonts w:asciiTheme="majorHAnsi" w:eastAsia="Times New Roman" w:hAnsiTheme="majorHAnsi"/>
          <w:sz w:val="22"/>
          <w:szCs w:val="22"/>
          <w:lang w:eastAsia="zh-CN"/>
        </w:rPr>
      </w:pPr>
      <w:r w:rsidRPr="00C85A9B">
        <w:rPr>
          <w:rFonts w:asciiTheme="majorHAnsi" w:hAnsiTheme="majorHAnsi"/>
          <w:b/>
          <w:sz w:val="22"/>
          <w:szCs w:val="22"/>
        </w:rPr>
        <w:t>CPIC guidelines:</w:t>
      </w:r>
      <w:r>
        <w:rPr>
          <w:rFonts w:asciiTheme="majorHAnsi" w:hAnsiTheme="majorHAnsi"/>
          <w:sz w:val="22"/>
          <w:szCs w:val="22"/>
        </w:rPr>
        <w:t xml:space="preserve"> PMID </w:t>
      </w:r>
      <w:r w:rsidRPr="00893B0D">
        <w:rPr>
          <w:rFonts w:asciiTheme="majorHAnsi" w:hAnsiTheme="majorHAnsi"/>
          <w:sz w:val="22"/>
          <w:szCs w:val="22"/>
        </w:rPr>
        <w:t>22378157</w:t>
      </w:r>
      <w:r>
        <w:rPr>
          <w:rFonts w:asciiTheme="majorHAnsi" w:hAnsiTheme="majorHAnsi"/>
          <w:sz w:val="22"/>
          <w:szCs w:val="22"/>
        </w:rPr>
        <w:t xml:space="preserve">, </w:t>
      </w:r>
      <w:r w:rsidRPr="00893B0D">
        <w:rPr>
          <w:rFonts w:asciiTheme="majorHAnsi" w:hAnsiTheme="majorHAnsi"/>
          <w:sz w:val="22"/>
          <w:szCs w:val="22"/>
        </w:rPr>
        <w:t>24561393</w:t>
      </w:r>
      <w:r>
        <w:rPr>
          <w:rFonts w:asciiTheme="majorHAnsi" w:hAnsiTheme="majorHAnsi"/>
          <w:sz w:val="22"/>
          <w:szCs w:val="22"/>
        </w:rPr>
        <w:t xml:space="preserve">, </w:t>
      </w:r>
      <w:r w:rsidRPr="00893B0D">
        <w:rPr>
          <w:rFonts w:asciiTheme="majorHAnsi" w:hAnsiTheme="majorHAnsi"/>
          <w:sz w:val="22"/>
          <w:szCs w:val="22"/>
        </w:rPr>
        <w:t>23232549</w:t>
      </w:r>
      <w:r>
        <w:rPr>
          <w:rFonts w:asciiTheme="majorHAnsi" w:hAnsiTheme="majorHAnsi"/>
          <w:sz w:val="22"/>
          <w:szCs w:val="22"/>
        </w:rPr>
        <w:t xml:space="preserve">, </w:t>
      </w:r>
      <w:r w:rsidRPr="00893B0D">
        <w:rPr>
          <w:rFonts w:asciiTheme="majorHAnsi" w:hAnsiTheme="majorHAnsi"/>
          <w:sz w:val="22"/>
          <w:szCs w:val="22"/>
        </w:rPr>
        <w:t>23486447</w:t>
      </w:r>
      <w:r>
        <w:rPr>
          <w:rFonts w:asciiTheme="majorHAnsi" w:hAnsiTheme="majorHAnsi"/>
          <w:sz w:val="22"/>
          <w:szCs w:val="22"/>
        </w:rPr>
        <w:t xml:space="preserve">, </w:t>
      </w:r>
      <w:r w:rsidRPr="00893B0D">
        <w:rPr>
          <w:rFonts w:asciiTheme="majorHAnsi" w:hAnsiTheme="majorHAnsi"/>
          <w:sz w:val="22"/>
          <w:szCs w:val="22"/>
        </w:rPr>
        <w:t>21270794</w:t>
      </w:r>
      <w:r>
        <w:rPr>
          <w:rFonts w:asciiTheme="majorHAnsi" w:hAnsiTheme="majorHAnsi"/>
          <w:sz w:val="22"/>
          <w:szCs w:val="22"/>
        </w:rPr>
        <w:t xml:space="preserve">, </w:t>
      </w:r>
      <w:r w:rsidRPr="00893B0D">
        <w:rPr>
          <w:rFonts w:asciiTheme="majorHAnsi" w:hAnsiTheme="majorHAnsi"/>
          <w:sz w:val="22"/>
          <w:szCs w:val="22"/>
        </w:rPr>
        <w:t>23422873</w:t>
      </w:r>
      <w:r>
        <w:rPr>
          <w:rFonts w:asciiTheme="majorHAnsi" w:hAnsiTheme="majorHAnsi"/>
          <w:sz w:val="22"/>
          <w:szCs w:val="22"/>
        </w:rPr>
        <w:t xml:space="preserve">, </w:t>
      </w:r>
      <w:r w:rsidRPr="00893B0D">
        <w:rPr>
          <w:rFonts w:asciiTheme="majorHAnsi" w:hAnsiTheme="majorHAnsi"/>
          <w:sz w:val="22"/>
          <w:szCs w:val="22"/>
        </w:rPr>
        <w:t>23695185</w:t>
      </w:r>
      <w:r>
        <w:rPr>
          <w:rFonts w:asciiTheme="majorHAnsi" w:hAnsiTheme="majorHAnsi"/>
          <w:sz w:val="22"/>
          <w:szCs w:val="22"/>
        </w:rPr>
        <w:t xml:space="preserve">, </w:t>
      </w:r>
      <w:r w:rsidRPr="00893B0D">
        <w:rPr>
          <w:rFonts w:asciiTheme="majorHAnsi" w:hAnsiTheme="majorHAnsi"/>
          <w:sz w:val="22"/>
          <w:szCs w:val="22"/>
        </w:rPr>
        <w:t>21716271</w:t>
      </w:r>
      <w:r>
        <w:rPr>
          <w:rFonts w:asciiTheme="majorHAnsi" w:hAnsiTheme="majorHAnsi"/>
          <w:sz w:val="22"/>
          <w:szCs w:val="22"/>
        </w:rPr>
        <w:t xml:space="preserve">, </w:t>
      </w:r>
      <w:r w:rsidRPr="00893B0D">
        <w:rPr>
          <w:rFonts w:asciiTheme="majorHAnsi" w:hAnsiTheme="majorHAnsi"/>
          <w:sz w:val="22"/>
          <w:szCs w:val="22"/>
        </w:rPr>
        <w:t>23698643</w:t>
      </w:r>
      <w:r>
        <w:rPr>
          <w:rFonts w:asciiTheme="majorHAnsi" w:hAnsiTheme="majorHAnsi"/>
          <w:sz w:val="22"/>
          <w:szCs w:val="22"/>
        </w:rPr>
        <w:t xml:space="preserve">, </w:t>
      </w:r>
      <w:r w:rsidRPr="00893B0D">
        <w:rPr>
          <w:rFonts w:asciiTheme="majorHAnsi" w:hAnsiTheme="majorHAnsi"/>
          <w:sz w:val="22"/>
          <w:szCs w:val="22"/>
        </w:rPr>
        <w:t>22205192</w:t>
      </w:r>
      <w:r>
        <w:rPr>
          <w:rFonts w:asciiTheme="majorHAnsi" w:hAnsiTheme="majorHAnsi"/>
          <w:sz w:val="22"/>
          <w:szCs w:val="22"/>
        </w:rPr>
        <w:t xml:space="preserve">, </w:t>
      </w:r>
      <w:r w:rsidRPr="00893B0D">
        <w:rPr>
          <w:rFonts w:asciiTheme="majorHAnsi" w:hAnsiTheme="majorHAnsi"/>
          <w:sz w:val="22"/>
          <w:szCs w:val="22"/>
        </w:rPr>
        <w:t>24458010</w:t>
      </w:r>
      <w:r>
        <w:rPr>
          <w:rFonts w:asciiTheme="majorHAnsi" w:hAnsiTheme="majorHAnsi"/>
          <w:sz w:val="22"/>
          <w:szCs w:val="22"/>
        </w:rPr>
        <w:t xml:space="preserve">, </w:t>
      </w:r>
      <w:r w:rsidRPr="00893B0D">
        <w:rPr>
          <w:rFonts w:asciiTheme="majorHAnsi" w:hAnsiTheme="majorHAnsi"/>
          <w:sz w:val="22"/>
          <w:szCs w:val="22"/>
        </w:rPr>
        <w:t>24598717</w:t>
      </w:r>
      <w:r>
        <w:rPr>
          <w:rFonts w:asciiTheme="majorHAnsi" w:hAnsiTheme="majorHAnsi"/>
          <w:sz w:val="22"/>
          <w:szCs w:val="22"/>
        </w:rPr>
        <w:t xml:space="preserve">, </w:t>
      </w:r>
      <w:r w:rsidRPr="00670338">
        <w:rPr>
          <w:rFonts w:asciiTheme="majorHAnsi" w:hAnsiTheme="majorHAnsi"/>
          <w:sz w:val="22"/>
          <w:szCs w:val="22"/>
        </w:rPr>
        <w:t>24787449</w:t>
      </w:r>
      <w:r>
        <w:rPr>
          <w:rFonts w:asciiTheme="majorHAnsi" w:hAnsiTheme="majorHAnsi"/>
          <w:sz w:val="22"/>
          <w:szCs w:val="22"/>
        </w:rPr>
        <w:t xml:space="preserve">, </w:t>
      </w:r>
      <w:r w:rsidRPr="00670338">
        <w:rPr>
          <w:rFonts w:asciiTheme="majorHAnsi" w:hAnsiTheme="majorHAnsi"/>
          <w:sz w:val="22"/>
          <w:szCs w:val="22"/>
        </w:rPr>
        <w:t>22617227</w:t>
      </w:r>
      <w:r>
        <w:rPr>
          <w:rFonts w:asciiTheme="majorHAnsi" w:hAnsiTheme="majorHAnsi"/>
          <w:sz w:val="22"/>
          <w:szCs w:val="22"/>
        </w:rPr>
        <w:t xml:space="preserve">, </w:t>
      </w:r>
      <w:r w:rsidRPr="00670338">
        <w:rPr>
          <w:rFonts w:asciiTheme="majorHAnsi" w:hAnsiTheme="majorHAnsi"/>
          <w:sz w:val="22"/>
          <w:szCs w:val="22"/>
        </w:rPr>
        <w:t>24918167</w:t>
      </w:r>
      <w:r>
        <w:rPr>
          <w:rFonts w:asciiTheme="majorHAnsi" w:hAnsiTheme="majorHAnsi"/>
          <w:sz w:val="22"/>
          <w:szCs w:val="22"/>
        </w:rPr>
        <w:t xml:space="preserve">, </w:t>
      </w:r>
      <w:r w:rsidRPr="00670338">
        <w:rPr>
          <w:rFonts w:asciiTheme="majorHAnsi" w:hAnsiTheme="majorHAnsi"/>
          <w:sz w:val="22"/>
          <w:szCs w:val="22"/>
        </w:rPr>
        <w:t>21900891</w:t>
      </w:r>
      <w:r>
        <w:rPr>
          <w:rFonts w:asciiTheme="majorHAnsi" w:hAnsiTheme="majorHAnsi"/>
          <w:sz w:val="22"/>
          <w:szCs w:val="22"/>
        </w:rPr>
        <w:t xml:space="preserve">, </w:t>
      </w:r>
      <w:r w:rsidRPr="00670338">
        <w:rPr>
          <w:rFonts w:asciiTheme="majorHAnsi" w:hAnsiTheme="majorHAnsi"/>
          <w:sz w:val="22"/>
          <w:szCs w:val="22"/>
        </w:rPr>
        <w:t>23988873</w:t>
      </w:r>
      <w:r>
        <w:rPr>
          <w:rFonts w:asciiTheme="majorHAnsi" w:hAnsiTheme="majorHAnsi"/>
          <w:sz w:val="22"/>
          <w:szCs w:val="22"/>
        </w:rPr>
        <w:t xml:space="preserve">, </w:t>
      </w:r>
      <w:r w:rsidRPr="00670338">
        <w:rPr>
          <w:rFonts w:asciiTheme="majorHAnsi" w:hAnsiTheme="majorHAnsi"/>
          <w:sz w:val="22"/>
          <w:szCs w:val="22"/>
        </w:rPr>
        <w:t>24096968</w:t>
      </w:r>
    </w:p>
    <w:p w14:paraId="2B1A84EC" w14:textId="77777777" w:rsidR="00053324" w:rsidRDefault="00053324" w:rsidP="004D5A15">
      <w:pPr>
        <w:ind w:left="360"/>
        <w:rPr>
          <w:rFonts w:asciiTheme="majorHAnsi" w:hAnsiTheme="majorHAnsi"/>
          <w:sz w:val="22"/>
          <w:szCs w:val="22"/>
        </w:rPr>
      </w:pPr>
    </w:p>
    <w:p w14:paraId="336A0ECD" w14:textId="77777777" w:rsidR="00053324" w:rsidRPr="006C2628" w:rsidRDefault="00053324" w:rsidP="00053324">
      <w:pPr>
        <w:rPr>
          <w:rFonts w:asciiTheme="majorHAnsi" w:hAnsiTheme="majorHAnsi"/>
          <w:sz w:val="22"/>
          <w:szCs w:val="22"/>
        </w:rPr>
      </w:pPr>
    </w:p>
    <w:sectPr w:rsidR="00053324" w:rsidRPr="006C2628" w:rsidSect="00E73489">
      <w:footerReference w:type="even" r:id="rId18"/>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4BAFF" w14:textId="77777777" w:rsidR="007147AB" w:rsidRDefault="007147AB" w:rsidP="00F72CEC">
      <w:r>
        <w:separator/>
      </w:r>
    </w:p>
  </w:endnote>
  <w:endnote w:type="continuationSeparator" w:id="0">
    <w:p w14:paraId="51B32CE5" w14:textId="77777777" w:rsidR="007147AB" w:rsidRDefault="007147AB" w:rsidP="00F7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3336"/>
      <w:gridCol w:w="3624"/>
      <w:gridCol w:w="3336"/>
    </w:tblGrid>
    <w:tr w:rsidR="00E73489" w14:paraId="6E03C232" w14:textId="77777777" w:rsidTr="00E73489">
      <w:trPr>
        <w:trHeight w:val="151"/>
      </w:trPr>
      <w:tc>
        <w:tcPr>
          <w:tcW w:w="2250" w:type="pct"/>
          <w:tcBorders>
            <w:top w:val="nil"/>
            <w:left w:val="nil"/>
            <w:bottom w:val="single" w:sz="4" w:space="0" w:color="4F81BD"/>
            <w:right w:val="nil"/>
          </w:tcBorders>
        </w:tcPr>
        <w:p w14:paraId="3E31DEC4" w14:textId="77777777" w:rsidR="00E73489" w:rsidRPr="00E73489" w:rsidRDefault="00E73489" w:rsidP="00E73489">
          <w:pPr>
            <w:pStyle w:val="Header"/>
            <w:spacing w:line="276" w:lineRule="auto"/>
            <w:rPr>
              <w:rFonts w:ascii="Calibri" w:eastAsia="MS Gothic" w:hAnsi="Calibri"/>
              <w:b/>
              <w:bCs/>
              <w:color w:val="4F81BD"/>
            </w:rPr>
          </w:pPr>
        </w:p>
      </w:tc>
      <w:tc>
        <w:tcPr>
          <w:tcW w:w="500" w:type="pct"/>
          <w:vMerge w:val="restart"/>
          <w:noWrap/>
          <w:vAlign w:val="center"/>
          <w:hideMark/>
        </w:tcPr>
        <w:p w14:paraId="1A3BDFF2" w14:textId="77777777" w:rsidR="00E73489" w:rsidRPr="00E73489" w:rsidRDefault="00E73489" w:rsidP="00E73489">
          <w:pPr>
            <w:pStyle w:val="MediumGrid21"/>
            <w:spacing w:line="276" w:lineRule="auto"/>
            <w:rPr>
              <w:rFonts w:ascii="Calibri" w:hAnsi="Calibri"/>
              <w:color w:val="365F91"/>
            </w:rPr>
          </w:pPr>
          <w:r>
            <w:rPr>
              <w:rFonts w:ascii="Cambria" w:hAnsi="Cambria"/>
              <w:color w:val="365F91"/>
            </w:rPr>
            <w:t>ClinVar Expert Panel Designation –</w:t>
          </w:r>
          <w:r>
            <w:rPr>
              <w:rStyle w:val="PageNumber"/>
              <w:rFonts w:ascii="Cambria" w:hAnsi="Cambria"/>
              <w:sz w:val="24"/>
              <w:szCs w:val="24"/>
            </w:rPr>
            <w:fldChar w:fldCharType="begin"/>
          </w:r>
          <w:r>
            <w:rPr>
              <w:rStyle w:val="PageNumber"/>
              <w:rFonts w:ascii="Cambria" w:hAnsi="Cambria"/>
              <w:sz w:val="24"/>
              <w:szCs w:val="24"/>
            </w:rPr>
            <w:instrText xml:space="preserve"> PAGE </w:instrText>
          </w:r>
          <w:r>
            <w:rPr>
              <w:rStyle w:val="PageNumber"/>
              <w:rFonts w:ascii="Cambria" w:hAnsi="Cambria"/>
              <w:sz w:val="24"/>
              <w:szCs w:val="24"/>
            </w:rPr>
            <w:fldChar w:fldCharType="separate"/>
          </w:r>
          <w:r>
            <w:rPr>
              <w:rStyle w:val="PageNumber"/>
              <w:rFonts w:ascii="Cambria" w:hAnsi="Cambria"/>
              <w:noProof/>
              <w:sz w:val="24"/>
              <w:szCs w:val="24"/>
            </w:rPr>
            <w:t>2</w:t>
          </w:r>
          <w:r>
            <w:rPr>
              <w:rStyle w:val="PageNumber"/>
              <w:rFonts w:ascii="Cambria" w:hAnsi="Cambria"/>
              <w:sz w:val="24"/>
              <w:szCs w:val="24"/>
            </w:rPr>
            <w:fldChar w:fldCharType="end"/>
          </w:r>
        </w:p>
      </w:tc>
      <w:tc>
        <w:tcPr>
          <w:tcW w:w="2250" w:type="pct"/>
          <w:tcBorders>
            <w:top w:val="nil"/>
            <w:left w:val="nil"/>
            <w:bottom w:val="single" w:sz="4" w:space="0" w:color="4F81BD"/>
            <w:right w:val="nil"/>
          </w:tcBorders>
        </w:tcPr>
        <w:p w14:paraId="060AF91F" w14:textId="77777777" w:rsidR="00E73489" w:rsidRPr="00E73489" w:rsidRDefault="00E73489" w:rsidP="00E73489">
          <w:pPr>
            <w:pStyle w:val="Header"/>
            <w:spacing w:line="276" w:lineRule="auto"/>
            <w:rPr>
              <w:rFonts w:ascii="Calibri" w:eastAsia="MS Gothic" w:hAnsi="Calibri"/>
              <w:b/>
              <w:bCs/>
              <w:color w:val="4F81BD"/>
            </w:rPr>
          </w:pPr>
        </w:p>
      </w:tc>
    </w:tr>
    <w:tr w:rsidR="00E73489" w14:paraId="4A94C22C" w14:textId="77777777" w:rsidTr="00E73489">
      <w:trPr>
        <w:trHeight w:val="150"/>
      </w:trPr>
      <w:tc>
        <w:tcPr>
          <w:tcW w:w="2250" w:type="pct"/>
          <w:tcBorders>
            <w:top w:val="single" w:sz="4" w:space="0" w:color="4F81BD"/>
            <w:left w:val="nil"/>
            <w:bottom w:val="nil"/>
            <w:right w:val="nil"/>
          </w:tcBorders>
        </w:tcPr>
        <w:p w14:paraId="213DF140" w14:textId="77777777" w:rsidR="00E73489" w:rsidRPr="00E73489" w:rsidRDefault="00E73489" w:rsidP="00E73489">
          <w:pPr>
            <w:pStyle w:val="Header"/>
            <w:spacing w:line="276" w:lineRule="auto"/>
            <w:rPr>
              <w:rFonts w:ascii="Calibri" w:eastAsia="MS Gothic" w:hAnsi="Calibri"/>
              <w:b/>
              <w:bCs/>
              <w:color w:val="4F81BD"/>
            </w:rPr>
          </w:pPr>
        </w:p>
      </w:tc>
      <w:tc>
        <w:tcPr>
          <w:tcW w:w="0" w:type="auto"/>
          <w:vMerge/>
          <w:vAlign w:val="center"/>
          <w:hideMark/>
        </w:tcPr>
        <w:p w14:paraId="605CEC1B" w14:textId="77777777" w:rsidR="00E73489" w:rsidRPr="00E73489" w:rsidRDefault="00E73489" w:rsidP="00E73489">
          <w:pPr>
            <w:rPr>
              <w:rFonts w:ascii="Calibri" w:hAnsi="Calibri"/>
              <w:color w:val="365F91"/>
              <w:sz w:val="22"/>
              <w:szCs w:val="22"/>
            </w:rPr>
          </w:pPr>
        </w:p>
      </w:tc>
      <w:tc>
        <w:tcPr>
          <w:tcW w:w="2250" w:type="pct"/>
          <w:tcBorders>
            <w:top w:val="single" w:sz="4" w:space="0" w:color="4F81BD"/>
            <w:left w:val="nil"/>
            <w:bottom w:val="nil"/>
            <w:right w:val="nil"/>
          </w:tcBorders>
        </w:tcPr>
        <w:p w14:paraId="67DAA910" w14:textId="77777777" w:rsidR="00E73489" w:rsidRPr="00E73489" w:rsidRDefault="00E73489" w:rsidP="00E73489">
          <w:pPr>
            <w:pStyle w:val="Header"/>
            <w:spacing w:line="276" w:lineRule="auto"/>
            <w:rPr>
              <w:rFonts w:ascii="Calibri" w:eastAsia="MS Gothic" w:hAnsi="Calibri"/>
              <w:b/>
              <w:bCs/>
              <w:color w:val="4F81BD"/>
            </w:rPr>
          </w:pPr>
        </w:p>
      </w:tc>
    </w:tr>
  </w:tbl>
  <w:p w14:paraId="47E9F963" w14:textId="77777777" w:rsidR="00E73489" w:rsidRDefault="00E734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3481"/>
      <w:gridCol w:w="3333"/>
      <w:gridCol w:w="3482"/>
    </w:tblGrid>
    <w:tr w:rsidR="00E73489" w14:paraId="235E5D32" w14:textId="77777777" w:rsidTr="00E73489">
      <w:trPr>
        <w:trHeight w:val="151"/>
      </w:trPr>
      <w:tc>
        <w:tcPr>
          <w:tcW w:w="2250" w:type="pct"/>
          <w:tcBorders>
            <w:top w:val="nil"/>
            <w:left w:val="nil"/>
            <w:bottom w:val="single" w:sz="4" w:space="0" w:color="4F81BD"/>
            <w:right w:val="nil"/>
          </w:tcBorders>
        </w:tcPr>
        <w:p w14:paraId="08CF5AC1" w14:textId="77777777" w:rsidR="00E73489" w:rsidRPr="00E73489" w:rsidRDefault="00E73489" w:rsidP="00E73489">
          <w:pPr>
            <w:pStyle w:val="Header"/>
            <w:spacing w:line="276" w:lineRule="auto"/>
            <w:rPr>
              <w:rFonts w:ascii="Calibri" w:eastAsia="MS Gothic" w:hAnsi="Calibri"/>
              <w:b/>
              <w:bCs/>
              <w:color w:val="4F81BD"/>
            </w:rPr>
          </w:pPr>
        </w:p>
      </w:tc>
      <w:tc>
        <w:tcPr>
          <w:tcW w:w="500" w:type="pct"/>
          <w:vMerge w:val="restart"/>
          <w:noWrap/>
          <w:vAlign w:val="center"/>
          <w:hideMark/>
        </w:tcPr>
        <w:p w14:paraId="15D96393" w14:textId="77777777" w:rsidR="00E73489" w:rsidRPr="00E73489" w:rsidRDefault="00E73489" w:rsidP="00E73489">
          <w:pPr>
            <w:pStyle w:val="MediumGrid21"/>
            <w:spacing w:line="276" w:lineRule="auto"/>
            <w:rPr>
              <w:rFonts w:ascii="Calibri" w:hAnsi="Calibri"/>
              <w:color w:val="365F91"/>
            </w:rPr>
          </w:pPr>
          <w:r>
            <w:rPr>
              <w:rFonts w:ascii="Cambria" w:hAnsi="Cambria"/>
              <w:color w:val="365F91"/>
            </w:rPr>
            <w:t xml:space="preserve">ClinVar Expert Panel Designation </w:t>
          </w:r>
        </w:p>
      </w:tc>
      <w:tc>
        <w:tcPr>
          <w:tcW w:w="2250" w:type="pct"/>
          <w:tcBorders>
            <w:top w:val="nil"/>
            <w:left w:val="nil"/>
            <w:bottom w:val="single" w:sz="4" w:space="0" w:color="4F81BD"/>
            <w:right w:val="nil"/>
          </w:tcBorders>
        </w:tcPr>
        <w:p w14:paraId="4FCDC07D" w14:textId="77777777" w:rsidR="00E73489" w:rsidRPr="00E73489" w:rsidRDefault="00E73489" w:rsidP="00E73489">
          <w:pPr>
            <w:pStyle w:val="Header"/>
            <w:spacing w:line="276" w:lineRule="auto"/>
            <w:rPr>
              <w:rFonts w:ascii="Calibri" w:eastAsia="MS Gothic" w:hAnsi="Calibri"/>
              <w:b/>
              <w:bCs/>
              <w:color w:val="4F81BD"/>
            </w:rPr>
          </w:pPr>
        </w:p>
      </w:tc>
    </w:tr>
    <w:tr w:rsidR="00E73489" w14:paraId="7B40B4EE" w14:textId="77777777" w:rsidTr="00E73489">
      <w:trPr>
        <w:trHeight w:val="150"/>
      </w:trPr>
      <w:tc>
        <w:tcPr>
          <w:tcW w:w="2250" w:type="pct"/>
          <w:tcBorders>
            <w:top w:val="single" w:sz="4" w:space="0" w:color="4F81BD"/>
            <w:left w:val="nil"/>
            <w:bottom w:val="nil"/>
            <w:right w:val="nil"/>
          </w:tcBorders>
        </w:tcPr>
        <w:p w14:paraId="7629FC36" w14:textId="77777777" w:rsidR="00E73489" w:rsidRPr="00E73489" w:rsidRDefault="00E73489" w:rsidP="00E73489">
          <w:pPr>
            <w:pStyle w:val="Header"/>
            <w:spacing w:line="276" w:lineRule="auto"/>
            <w:rPr>
              <w:rFonts w:ascii="Calibri" w:eastAsia="MS Gothic" w:hAnsi="Calibri"/>
              <w:b/>
              <w:bCs/>
              <w:color w:val="4F81BD"/>
            </w:rPr>
          </w:pPr>
        </w:p>
      </w:tc>
      <w:tc>
        <w:tcPr>
          <w:tcW w:w="0" w:type="auto"/>
          <w:vMerge/>
          <w:vAlign w:val="center"/>
          <w:hideMark/>
        </w:tcPr>
        <w:p w14:paraId="43BD9489" w14:textId="77777777" w:rsidR="00E73489" w:rsidRPr="00E73489" w:rsidRDefault="00E73489" w:rsidP="00E73489">
          <w:pPr>
            <w:rPr>
              <w:rFonts w:ascii="Calibri" w:hAnsi="Calibri"/>
              <w:color w:val="365F91"/>
              <w:sz w:val="22"/>
              <w:szCs w:val="22"/>
            </w:rPr>
          </w:pPr>
        </w:p>
      </w:tc>
      <w:tc>
        <w:tcPr>
          <w:tcW w:w="2250" w:type="pct"/>
          <w:tcBorders>
            <w:top w:val="single" w:sz="4" w:space="0" w:color="4F81BD"/>
            <w:left w:val="nil"/>
            <w:bottom w:val="nil"/>
            <w:right w:val="nil"/>
          </w:tcBorders>
        </w:tcPr>
        <w:p w14:paraId="5AF81B6B" w14:textId="77777777" w:rsidR="00E73489" w:rsidRPr="00E73489" w:rsidRDefault="00E73489" w:rsidP="00E73489">
          <w:pPr>
            <w:pStyle w:val="Header"/>
            <w:spacing w:line="276" w:lineRule="auto"/>
            <w:rPr>
              <w:rFonts w:ascii="Calibri" w:eastAsia="MS Gothic" w:hAnsi="Calibri"/>
              <w:b/>
              <w:bCs/>
              <w:color w:val="4F81BD"/>
            </w:rPr>
          </w:pPr>
        </w:p>
      </w:tc>
    </w:tr>
  </w:tbl>
  <w:p w14:paraId="7C69FF3A" w14:textId="77777777" w:rsidR="00E73489" w:rsidRDefault="00E73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B9F9C" w14:textId="77777777" w:rsidR="007147AB" w:rsidRDefault="007147AB" w:rsidP="00F72CEC">
      <w:r>
        <w:separator/>
      </w:r>
    </w:p>
  </w:footnote>
  <w:footnote w:type="continuationSeparator" w:id="0">
    <w:p w14:paraId="462BE405" w14:textId="77777777" w:rsidR="007147AB" w:rsidRDefault="007147AB" w:rsidP="00F72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F183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3722A"/>
    <w:multiLevelType w:val="hybridMultilevel"/>
    <w:tmpl w:val="E76EF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CB393B"/>
    <w:multiLevelType w:val="hybridMultilevel"/>
    <w:tmpl w:val="658C2D62"/>
    <w:lvl w:ilvl="0" w:tplc="846CA8C8">
      <w:start w:val="1"/>
      <w:numFmt w:val="bullet"/>
      <w:lvlText w:val="•"/>
      <w:lvlJc w:val="left"/>
      <w:pPr>
        <w:tabs>
          <w:tab w:val="num" w:pos="720"/>
        </w:tabs>
        <w:ind w:left="720" w:hanging="360"/>
      </w:pPr>
      <w:rPr>
        <w:rFonts w:ascii="Arial" w:hAnsi="Arial" w:hint="default"/>
      </w:rPr>
    </w:lvl>
    <w:lvl w:ilvl="1" w:tplc="A3929C48">
      <w:numFmt w:val="none"/>
      <w:lvlText w:val=""/>
      <w:lvlJc w:val="left"/>
      <w:pPr>
        <w:tabs>
          <w:tab w:val="num" w:pos="360"/>
        </w:tabs>
      </w:pPr>
    </w:lvl>
    <w:lvl w:ilvl="2" w:tplc="11506E4E" w:tentative="1">
      <w:start w:val="1"/>
      <w:numFmt w:val="bullet"/>
      <w:lvlText w:val="•"/>
      <w:lvlJc w:val="left"/>
      <w:pPr>
        <w:tabs>
          <w:tab w:val="num" w:pos="2160"/>
        </w:tabs>
        <w:ind w:left="2160" w:hanging="360"/>
      </w:pPr>
      <w:rPr>
        <w:rFonts w:ascii="Arial" w:hAnsi="Arial" w:hint="default"/>
      </w:rPr>
    </w:lvl>
    <w:lvl w:ilvl="3" w:tplc="49640C9C" w:tentative="1">
      <w:start w:val="1"/>
      <w:numFmt w:val="bullet"/>
      <w:lvlText w:val="•"/>
      <w:lvlJc w:val="left"/>
      <w:pPr>
        <w:tabs>
          <w:tab w:val="num" w:pos="2880"/>
        </w:tabs>
        <w:ind w:left="2880" w:hanging="360"/>
      </w:pPr>
      <w:rPr>
        <w:rFonts w:ascii="Arial" w:hAnsi="Arial" w:hint="default"/>
      </w:rPr>
    </w:lvl>
    <w:lvl w:ilvl="4" w:tplc="201C46E0" w:tentative="1">
      <w:start w:val="1"/>
      <w:numFmt w:val="bullet"/>
      <w:lvlText w:val="•"/>
      <w:lvlJc w:val="left"/>
      <w:pPr>
        <w:tabs>
          <w:tab w:val="num" w:pos="3600"/>
        </w:tabs>
        <w:ind w:left="3600" w:hanging="360"/>
      </w:pPr>
      <w:rPr>
        <w:rFonts w:ascii="Arial" w:hAnsi="Arial" w:hint="default"/>
      </w:rPr>
    </w:lvl>
    <w:lvl w:ilvl="5" w:tplc="65B65D56" w:tentative="1">
      <w:start w:val="1"/>
      <w:numFmt w:val="bullet"/>
      <w:lvlText w:val="•"/>
      <w:lvlJc w:val="left"/>
      <w:pPr>
        <w:tabs>
          <w:tab w:val="num" w:pos="4320"/>
        </w:tabs>
        <w:ind w:left="4320" w:hanging="360"/>
      </w:pPr>
      <w:rPr>
        <w:rFonts w:ascii="Arial" w:hAnsi="Arial" w:hint="default"/>
      </w:rPr>
    </w:lvl>
    <w:lvl w:ilvl="6" w:tplc="4AB219F0" w:tentative="1">
      <w:start w:val="1"/>
      <w:numFmt w:val="bullet"/>
      <w:lvlText w:val="•"/>
      <w:lvlJc w:val="left"/>
      <w:pPr>
        <w:tabs>
          <w:tab w:val="num" w:pos="5040"/>
        </w:tabs>
        <w:ind w:left="5040" w:hanging="360"/>
      </w:pPr>
      <w:rPr>
        <w:rFonts w:ascii="Arial" w:hAnsi="Arial" w:hint="default"/>
      </w:rPr>
    </w:lvl>
    <w:lvl w:ilvl="7" w:tplc="64FEE97A" w:tentative="1">
      <w:start w:val="1"/>
      <w:numFmt w:val="bullet"/>
      <w:lvlText w:val="•"/>
      <w:lvlJc w:val="left"/>
      <w:pPr>
        <w:tabs>
          <w:tab w:val="num" w:pos="5760"/>
        </w:tabs>
        <w:ind w:left="5760" w:hanging="360"/>
      </w:pPr>
      <w:rPr>
        <w:rFonts w:ascii="Arial" w:hAnsi="Arial" w:hint="default"/>
      </w:rPr>
    </w:lvl>
    <w:lvl w:ilvl="8" w:tplc="9D2E6A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4B362E"/>
    <w:multiLevelType w:val="hybridMultilevel"/>
    <w:tmpl w:val="A872AB04"/>
    <w:lvl w:ilvl="0" w:tplc="0409000F">
      <w:start w:val="1"/>
      <w:numFmt w:val="decimal"/>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E03D8"/>
    <w:multiLevelType w:val="hybridMultilevel"/>
    <w:tmpl w:val="5AAE422A"/>
    <w:lvl w:ilvl="0" w:tplc="9A7036C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ind w:left="720" w:hanging="360"/>
      </w:pPr>
      <w:rPr>
        <w:rFonts w:hint="default"/>
      </w:rPr>
    </w:lvl>
    <w:lvl w:ilvl="2" w:tplc="D9AC514E" w:tentative="1">
      <w:start w:val="1"/>
      <w:numFmt w:val="bullet"/>
      <w:lvlText w:val="•"/>
      <w:lvlJc w:val="left"/>
      <w:pPr>
        <w:tabs>
          <w:tab w:val="num" w:pos="2160"/>
        </w:tabs>
        <w:ind w:left="2160" w:hanging="360"/>
      </w:pPr>
      <w:rPr>
        <w:rFonts w:ascii="Arial" w:hAnsi="Arial" w:hint="default"/>
      </w:rPr>
    </w:lvl>
    <w:lvl w:ilvl="3" w:tplc="809EB228" w:tentative="1">
      <w:start w:val="1"/>
      <w:numFmt w:val="bullet"/>
      <w:lvlText w:val="•"/>
      <w:lvlJc w:val="left"/>
      <w:pPr>
        <w:tabs>
          <w:tab w:val="num" w:pos="2880"/>
        </w:tabs>
        <w:ind w:left="2880" w:hanging="360"/>
      </w:pPr>
      <w:rPr>
        <w:rFonts w:ascii="Arial" w:hAnsi="Arial" w:hint="default"/>
      </w:rPr>
    </w:lvl>
    <w:lvl w:ilvl="4" w:tplc="24A2D190" w:tentative="1">
      <w:start w:val="1"/>
      <w:numFmt w:val="bullet"/>
      <w:lvlText w:val="•"/>
      <w:lvlJc w:val="left"/>
      <w:pPr>
        <w:tabs>
          <w:tab w:val="num" w:pos="3600"/>
        </w:tabs>
        <w:ind w:left="3600" w:hanging="360"/>
      </w:pPr>
      <w:rPr>
        <w:rFonts w:ascii="Arial" w:hAnsi="Arial" w:hint="default"/>
      </w:rPr>
    </w:lvl>
    <w:lvl w:ilvl="5" w:tplc="29D2DAF4" w:tentative="1">
      <w:start w:val="1"/>
      <w:numFmt w:val="bullet"/>
      <w:lvlText w:val="•"/>
      <w:lvlJc w:val="left"/>
      <w:pPr>
        <w:tabs>
          <w:tab w:val="num" w:pos="4320"/>
        </w:tabs>
        <w:ind w:left="4320" w:hanging="360"/>
      </w:pPr>
      <w:rPr>
        <w:rFonts w:ascii="Arial" w:hAnsi="Arial" w:hint="default"/>
      </w:rPr>
    </w:lvl>
    <w:lvl w:ilvl="6" w:tplc="6DEE9EBA" w:tentative="1">
      <w:start w:val="1"/>
      <w:numFmt w:val="bullet"/>
      <w:lvlText w:val="•"/>
      <w:lvlJc w:val="left"/>
      <w:pPr>
        <w:tabs>
          <w:tab w:val="num" w:pos="5040"/>
        </w:tabs>
        <w:ind w:left="5040" w:hanging="360"/>
      </w:pPr>
      <w:rPr>
        <w:rFonts w:ascii="Arial" w:hAnsi="Arial" w:hint="default"/>
      </w:rPr>
    </w:lvl>
    <w:lvl w:ilvl="7" w:tplc="F634D5A4" w:tentative="1">
      <w:start w:val="1"/>
      <w:numFmt w:val="bullet"/>
      <w:lvlText w:val="•"/>
      <w:lvlJc w:val="left"/>
      <w:pPr>
        <w:tabs>
          <w:tab w:val="num" w:pos="5760"/>
        </w:tabs>
        <w:ind w:left="5760" w:hanging="360"/>
      </w:pPr>
      <w:rPr>
        <w:rFonts w:ascii="Arial" w:hAnsi="Arial" w:hint="default"/>
      </w:rPr>
    </w:lvl>
    <w:lvl w:ilvl="8" w:tplc="8F0ADB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A95DBB"/>
    <w:multiLevelType w:val="hybridMultilevel"/>
    <w:tmpl w:val="A1B8A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774D2"/>
    <w:multiLevelType w:val="hybridMultilevel"/>
    <w:tmpl w:val="F7FC20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5326F3"/>
    <w:multiLevelType w:val="hybridMultilevel"/>
    <w:tmpl w:val="43BCE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DF75C1"/>
    <w:multiLevelType w:val="hybridMultilevel"/>
    <w:tmpl w:val="43C4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B5F66"/>
    <w:multiLevelType w:val="hybridMultilevel"/>
    <w:tmpl w:val="1E785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6"/>
  </w:num>
  <w:num w:numId="5">
    <w:abstractNumId w:val="9"/>
  </w:num>
  <w:num w:numId="6">
    <w:abstractNumId w:val="3"/>
  </w:num>
  <w:num w:numId="7">
    <w:abstractNumId w:val="0"/>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C0"/>
    <w:rsid w:val="0003001D"/>
    <w:rsid w:val="000440FC"/>
    <w:rsid w:val="00053324"/>
    <w:rsid w:val="00061729"/>
    <w:rsid w:val="000A27FC"/>
    <w:rsid w:val="000A5C0A"/>
    <w:rsid w:val="000C6C63"/>
    <w:rsid w:val="00105607"/>
    <w:rsid w:val="001337C7"/>
    <w:rsid w:val="00136140"/>
    <w:rsid w:val="00166C9F"/>
    <w:rsid w:val="0017053C"/>
    <w:rsid w:val="001712AC"/>
    <w:rsid w:val="001813E3"/>
    <w:rsid w:val="001C3ED1"/>
    <w:rsid w:val="00231486"/>
    <w:rsid w:val="00254309"/>
    <w:rsid w:val="00283A17"/>
    <w:rsid w:val="002D33E7"/>
    <w:rsid w:val="002E0FB4"/>
    <w:rsid w:val="002E702C"/>
    <w:rsid w:val="002F550B"/>
    <w:rsid w:val="003457DC"/>
    <w:rsid w:val="00347200"/>
    <w:rsid w:val="00357F0C"/>
    <w:rsid w:val="003A50B5"/>
    <w:rsid w:val="003E69DF"/>
    <w:rsid w:val="004033C9"/>
    <w:rsid w:val="00472BD2"/>
    <w:rsid w:val="0048001B"/>
    <w:rsid w:val="00486B0A"/>
    <w:rsid w:val="004A1930"/>
    <w:rsid w:val="004A59B2"/>
    <w:rsid w:val="004A7982"/>
    <w:rsid w:val="004B1C55"/>
    <w:rsid w:val="004D06E7"/>
    <w:rsid w:val="004D5A15"/>
    <w:rsid w:val="004E74DF"/>
    <w:rsid w:val="005520B9"/>
    <w:rsid w:val="00564A53"/>
    <w:rsid w:val="00573F15"/>
    <w:rsid w:val="005D2F0C"/>
    <w:rsid w:val="005E5546"/>
    <w:rsid w:val="006C2628"/>
    <w:rsid w:val="007147AB"/>
    <w:rsid w:val="00733102"/>
    <w:rsid w:val="00795615"/>
    <w:rsid w:val="007B6533"/>
    <w:rsid w:val="007E6CD6"/>
    <w:rsid w:val="007F7D25"/>
    <w:rsid w:val="008731E7"/>
    <w:rsid w:val="00876A5C"/>
    <w:rsid w:val="008A47AA"/>
    <w:rsid w:val="00904888"/>
    <w:rsid w:val="0090758B"/>
    <w:rsid w:val="009126CB"/>
    <w:rsid w:val="0091445C"/>
    <w:rsid w:val="00966A77"/>
    <w:rsid w:val="00985F41"/>
    <w:rsid w:val="00997CC7"/>
    <w:rsid w:val="009D3657"/>
    <w:rsid w:val="009F579F"/>
    <w:rsid w:val="009F77B8"/>
    <w:rsid w:val="00A074E7"/>
    <w:rsid w:val="00A401B3"/>
    <w:rsid w:val="00A97923"/>
    <w:rsid w:val="00AD129E"/>
    <w:rsid w:val="00AD13CA"/>
    <w:rsid w:val="00AD43AD"/>
    <w:rsid w:val="00AE2117"/>
    <w:rsid w:val="00AE2B3C"/>
    <w:rsid w:val="00B036D0"/>
    <w:rsid w:val="00B073C0"/>
    <w:rsid w:val="00B175F2"/>
    <w:rsid w:val="00B17ED6"/>
    <w:rsid w:val="00B271EC"/>
    <w:rsid w:val="00B6237C"/>
    <w:rsid w:val="00B85D6D"/>
    <w:rsid w:val="00BB1F8A"/>
    <w:rsid w:val="00BC42F4"/>
    <w:rsid w:val="00BC69E9"/>
    <w:rsid w:val="00BD274C"/>
    <w:rsid w:val="00C0012B"/>
    <w:rsid w:val="00C06BB1"/>
    <w:rsid w:val="00C22791"/>
    <w:rsid w:val="00C3625A"/>
    <w:rsid w:val="00C85A9B"/>
    <w:rsid w:val="00C94E58"/>
    <w:rsid w:val="00CA3ABD"/>
    <w:rsid w:val="00CA7C58"/>
    <w:rsid w:val="00CD0688"/>
    <w:rsid w:val="00CF2946"/>
    <w:rsid w:val="00D46DE0"/>
    <w:rsid w:val="00DA2E41"/>
    <w:rsid w:val="00DC1CA8"/>
    <w:rsid w:val="00DE3538"/>
    <w:rsid w:val="00E1727A"/>
    <w:rsid w:val="00E73489"/>
    <w:rsid w:val="00E81F3E"/>
    <w:rsid w:val="00E8381F"/>
    <w:rsid w:val="00EF28DC"/>
    <w:rsid w:val="00F12AF4"/>
    <w:rsid w:val="00F72CEC"/>
    <w:rsid w:val="00F82391"/>
    <w:rsid w:val="00FA445A"/>
    <w:rsid w:val="00FB1B91"/>
    <w:rsid w:val="00FB6FA2"/>
    <w:rsid w:val="00FE0A01"/>
    <w:rsid w:val="00FF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361992"/>
  <w15:docId w15:val="{172338B2-C547-4F66-B577-EE265F35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0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E3538"/>
    <w:pPr>
      <w:ind w:left="720"/>
      <w:contextualSpacing/>
    </w:pPr>
  </w:style>
  <w:style w:type="paragraph" w:styleId="Header">
    <w:name w:val="header"/>
    <w:basedOn w:val="Normal"/>
    <w:link w:val="HeaderChar"/>
    <w:uiPriority w:val="99"/>
    <w:unhideWhenUsed/>
    <w:rsid w:val="00F72CEC"/>
    <w:pPr>
      <w:tabs>
        <w:tab w:val="center" w:pos="4680"/>
        <w:tab w:val="right" w:pos="9360"/>
      </w:tabs>
    </w:pPr>
  </w:style>
  <w:style w:type="character" w:customStyle="1" w:styleId="HeaderChar">
    <w:name w:val="Header Char"/>
    <w:basedOn w:val="DefaultParagraphFont"/>
    <w:link w:val="Header"/>
    <w:uiPriority w:val="99"/>
    <w:rsid w:val="00F72CEC"/>
  </w:style>
  <w:style w:type="paragraph" w:styleId="Footer">
    <w:name w:val="footer"/>
    <w:basedOn w:val="Normal"/>
    <w:link w:val="FooterChar"/>
    <w:uiPriority w:val="99"/>
    <w:unhideWhenUsed/>
    <w:rsid w:val="00F72CEC"/>
    <w:pPr>
      <w:tabs>
        <w:tab w:val="center" w:pos="4680"/>
        <w:tab w:val="right" w:pos="9360"/>
      </w:tabs>
    </w:pPr>
  </w:style>
  <w:style w:type="character" w:customStyle="1" w:styleId="FooterChar">
    <w:name w:val="Footer Char"/>
    <w:basedOn w:val="DefaultParagraphFont"/>
    <w:link w:val="Footer"/>
    <w:uiPriority w:val="99"/>
    <w:rsid w:val="00F72CEC"/>
  </w:style>
  <w:style w:type="character" w:styleId="Hyperlink">
    <w:name w:val="Hyperlink"/>
    <w:uiPriority w:val="99"/>
    <w:unhideWhenUsed/>
    <w:rsid w:val="00DC1CA8"/>
    <w:rPr>
      <w:color w:val="0000FF"/>
      <w:u w:val="single"/>
    </w:rPr>
  </w:style>
  <w:style w:type="paragraph" w:styleId="BalloonText">
    <w:name w:val="Balloon Text"/>
    <w:basedOn w:val="Normal"/>
    <w:link w:val="BalloonTextChar"/>
    <w:uiPriority w:val="99"/>
    <w:semiHidden/>
    <w:unhideWhenUsed/>
    <w:rsid w:val="00DC1CA8"/>
    <w:rPr>
      <w:rFonts w:ascii="Tahoma" w:hAnsi="Tahoma" w:cs="Tahoma"/>
      <w:sz w:val="16"/>
      <w:szCs w:val="16"/>
    </w:rPr>
  </w:style>
  <w:style w:type="character" w:customStyle="1" w:styleId="BalloonTextChar">
    <w:name w:val="Balloon Text Char"/>
    <w:link w:val="BalloonText"/>
    <w:uiPriority w:val="99"/>
    <w:semiHidden/>
    <w:rsid w:val="00DC1CA8"/>
    <w:rPr>
      <w:rFonts w:ascii="Tahoma" w:hAnsi="Tahoma" w:cs="Tahoma"/>
      <w:sz w:val="16"/>
      <w:szCs w:val="16"/>
    </w:rPr>
  </w:style>
  <w:style w:type="table" w:styleId="TableGrid">
    <w:name w:val="Table Grid"/>
    <w:basedOn w:val="TableNormal"/>
    <w:uiPriority w:val="59"/>
    <w:rsid w:val="00FF3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520B9"/>
  </w:style>
  <w:style w:type="table" w:customStyle="1" w:styleId="IntenseQuote1">
    <w:name w:val="Intense Quote1"/>
    <w:basedOn w:val="TableNormal"/>
    <w:uiPriority w:val="60"/>
    <w:qFormat/>
    <w:rsid w:val="005520B9"/>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ediumGrid21">
    <w:name w:val="Medium Grid 21"/>
    <w:link w:val="MediumGrid2Char"/>
    <w:qFormat/>
    <w:rsid w:val="00E73489"/>
    <w:rPr>
      <w:rFonts w:ascii="PMingLiU" w:hAnsi="PMingLiU"/>
      <w:sz w:val="22"/>
      <w:szCs w:val="22"/>
    </w:rPr>
  </w:style>
  <w:style w:type="character" w:customStyle="1" w:styleId="MediumGrid2Char">
    <w:name w:val="Medium Grid 2 Char"/>
    <w:link w:val="MediumGrid21"/>
    <w:rsid w:val="00E73489"/>
    <w:rPr>
      <w:rFonts w:ascii="PMingLiU" w:eastAsia="MS Mincho" w:hAnsi="PMingLiU"/>
      <w:sz w:val="22"/>
      <w:szCs w:val="22"/>
    </w:rPr>
  </w:style>
  <w:style w:type="paragraph" w:styleId="ListParagraph">
    <w:name w:val="List Paragraph"/>
    <w:basedOn w:val="Normal"/>
    <w:uiPriority w:val="34"/>
    <w:qFormat/>
    <w:rsid w:val="00E17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071">
      <w:bodyDiv w:val="1"/>
      <w:marLeft w:val="0"/>
      <w:marRight w:val="0"/>
      <w:marTop w:val="0"/>
      <w:marBottom w:val="0"/>
      <w:divBdr>
        <w:top w:val="none" w:sz="0" w:space="0" w:color="auto"/>
        <w:left w:val="none" w:sz="0" w:space="0" w:color="auto"/>
        <w:bottom w:val="none" w:sz="0" w:space="0" w:color="auto"/>
        <w:right w:val="none" w:sz="0" w:space="0" w:color="auto"/>
      </w:divBdr>
    </w:div>
    <w:div w:id="9063973">
      <w:bodyDiv w:val="1"/>
      <w:marLeft w:val="0"/>
      <w:marRight w:val="0"/>
      <w:marTop w:val="0"/>
      <w:marBottom w:val="0"/>
      <w:divBdr>
        <w:top w:val="none" w:sz="0" w:space="0" w:color="auto"/>
        <w:left w:val="none" w:sz="0" w:space="0" w:color="auto"/>
        <w:bottom w:val="none" w:sz="0" w:space="0" w:color="auto"/>
        <w:right w:val="none" w:sz="0" w:space="0" w:color="auto"/>
      </w:divBdr>
    </w:div>
    <w:div w:id="52311883">
      <w:bodyDiv w:val="1"/>
      <w:marLeft w:val="0"/>
      <w:marRight w:val="0"/>
      <w:marTop w:val="0"/>
      <w:marBottom w:val="0"/>
      <w:divBdr>
        <w:top w:val="none" w:sz="0" w:space="0" w:color="auto"/>
        <w:left w:val="none" w:sz="0" w:space="0" w:color="auto"/>
        <w:bottom w:val="none" w:sz="0" w:space="0" w:color="auto"/>
        <w:right w:val="none" w:sz="0" w:space="0" w:color="auto"/>
      </w:divBdr>
    </w:div>
    <w:div w:id="96678811">
      <w:bodyDiv w:val="1"/>
      <w:marLeft w:val="0"/>
      <w:marRight w:val="0"/>
      <w:marTop w:val="0"/>
      <w:marBottom w:val="0"/>
      <w:divBdr>
        <w:top w:val="none" w:sz="0" w:space="0" w:color="auto"/>
        <w:left w:val="none" w:sz="0" w:space="0" w:color="auto"/>
        <w:bottom w:val="none" w:sz="0" w:space="0" w:color="auto"/>
        <w:right w:val="none" w:sz="0" w:space="0" w:color="auto"/>
      </w:divBdr>
      <w:divsChild>
        <w:div w:id="204031214">
          <w:marLeft w:val="1166"/>
          <w:marRight w:val="0"/>
          <w:marTop w:val="115"/>
          <w:marBottom w:val="0"/>
          <w:divBdr>
            <w:top w:val="none" w:sz="0" w:space="0" w:color="auto"/>
            <w:left w:val="none" w:sz="0" w:space="0" w:color="auto"/>
            <w:bottom w:val="none" w:sz="0" w:space="0" w:color="auto"/>
            <w:right w:val="none" w:sz="0" w:space="0" w:color="auto"/>
          </w:divBdr>
        </w:div>
        <w:div w:id="342367938">
          <w:marLeft w:val="1166"/>
          <w:marRight w:val="0"/>
          <w:marTop w:val="115"/>
          <w:marBottom w:val="0"/>
          <w:divBdr>
            <w:top w:val="none" w:sz="0" w:space="0" w:color="auto"/>
            <w:left w:val="none" w:sz="0" w:space="0" w:color="auto"/>
            <w:bottom w:val="none" w:sz="0" w:space="0" w:color="auto"/>
            <w:right w:val="none" w:sz="0" w:space="0" w:color="auto"/>
          </w:divBdr>
        </w:div>
        <w:div w:id="859856919">
          <w:marLeft w:val="547"/>
          <w:marRight w:val="0"/>
          <w:marTop w:val="130"/>
          <w:marBottom w:val="0"/>
          <w:divBdr>
            <w:top w:val="none" w:sz="0" w:space="0" w:color="auto"/>
            <w:left w:val="none" w:sz="0" w:space="0" w:color="auto"/>
            <w:bottom w:val="none" w:sz="0" w:space="0" w:color="auto"/>
            <w:right w:val="none" w:sz="0" w:space="0" w:color="auto"/>
          </w:divBdr>
        </w:div>
        <w:div w:id="1120028332">
          <w:marLeft w:val="1166"/>
          <w:marRight w:val="0"/>
          <w:marTop w:val="115"/>
          <w:marBottom w:val="0"/>
          <w:divBdr>
            <w:top w:val="none" w:sz="0" w:space="0" w:color="auto"/>
            <w:left w:val="none" w:sz="0" w:space="0" w:color="auto"/>
            <w:bottom w:val="none" w:sz="0" w:space="0" w:color="auto"/>
            <w:right w:val="none" w:sz="0" w:space="0" w:color="auto"/>
          </w:divBdr>
        </w:div>
        <w:div w:id="1620722810">
          <w:marLeft w:val="547"/>
          <w:marRight w:val="0"/>
          <w:marTop w:val="130"/>
          <w:marBottom w:val="0"/>
          <w:divBdr>
            <w:top w:val="none" w:sz="0" w:space="0" w:color="auto"/>
            <w:left w:val="none" w:sz="0" w:space="0" w:color="auto"/>
            <w:bottom w:val="none" w:sz="0" w:space="0" w:color="auto"/>
            <w:right w:val="none" w:sz="0" w:space="0" w:color="auto"/>
          </w:divBdr>
        </w:div>
        <w:div w:id="1679505461">
          <w:marLeft w:val="1166"/>
          <w:marRight w:val="0"/>
          <w:marTop w:val="115"/>
          <w:marBottom w:val="0"/>
          <w:divBdr>
            <w:top w:val="none" w:sz="0" w:space="0" w:color="auto"/>
            <w:left w:val="none" w:sz="0" w:space="0" w:color="auto"/>
            <w:bottom w:val="none" w:sz="0" w:space="0" w:color="auto"/>
            <w:right w:val="none" w:sz="0" w:space="0" w:color="auto"/>
          </w:divBdr>
        </w:div>
        <w:div w:id="1749382377">
          <w:marLeft w:val="1166"/>
          <w:marRight w:val="0"/>
          <w:marTop w:val="115"/>
          <w:marBottom w:val="0"/>
          <w:divBdr>
            <w:top w:val="none" w:sz="0" w:space="0" w:color="auto"/>
            <w:left w:val="none" w:sz="0" w:space="0" w:color="auto"/>
            <w:bottom w:val="none" w:sz="0" w:space="0" w:color="auto"/>
            <w:right w:val="none" w:sz="0" w:space="0" w:color="auto"/>
          </w:divBdr>
        </w:div>
      </w:divsChild>
    </w:div>
    <w:div w:id="119996733">
      <w:bodyDiv w:val="1"/>
      <w:marLeft w:val="0"/>
      <w:marRight w:val="0"/>
      <w:marTop w:val="0"/>
      <w:marBottom w:val="0"/>
      <w:divBdr>
        <w:top w:val="none" w:sz="0" w:space="0" w:color="auto"/>
        <w:left w:val="none" w:sz="0" w:space="0" w:color="auto"/>
        <w:bottom w:val="none" w:sz="0" w:space="0" w:color="auto"/>
        <w:right w:val="none" w:sz="0" w:space="0" w:color="auto"/>
      </w:divBdr>
    </w:div>
    <w:div w:id="199516228">
      <w:bodyDiv w:val="1"/>
      <w:marLeft w:val="0"/>
      <w:marRight w:val="0"/>
      <w:marTop w:val="0"/>
      <w:marBottom w:val="0"/>
      <w:divBdr>
        <w:top w:val="none" w:sz="0" w:space="0" w:color="auto"/>
        <w:left w:val="none" w:sz="0" w:space="0" w:color="auto"/>
        <w:bottom w:val="none" w:sz="0" w:space="0" w:color="auto"/>
        <w:right w:val="none" w:sz="0" w:space="0" w:color="auto"/>
      </w:divBdr>
    </w:div>
    <w:div w:id="424497464">
      <w:bodyDiv w:val="1"/>
      <w:marLeft w:val="0"/>
      <w:marRight w:val="0"/>
      <w:marTop w:val="0"/>
      <w:marBottom w:val="0"/>
      <w:divBdr>
        <w:top w:val="none" w:sz="0" w:space="0" w:color="auto"/>
        <w:left w:val="none" w:sz="0" w:space="0" w:color="auto"/>
        <w:bottom w:val="none" w:sz="0" w:space="0" w:color="auto"/>
        <w:right w:val="none" w:sz="0" w:space="0" w:color="auto"/>
      </w:divBdr>
    </w:div>
    <w:div w:id="487332082">
      <w:bodyDiv w:val="1"/>
      <w:marLeft w:val="0"/>
      <w:marRight w:val="0"/>
      <w:marTop w:val="0"/>
      <w:marBottom w:val="0"/>
      <w:divBdr>
        <w:top w:val="none" w:sz="0" w:space="0" w:color="auto"/>
        <w:left w:val="none" w:sz="0" w:space="0" w:color="auto"/>
        <w:bottom w:val="none" w:sz="0" w:space="0" w:color="auto"/>
        <w:right w:val="none" w:sz="0" w:space="0" w:color="auto"/>
      </w:divBdr>
    </w:div>
    <w:div w:id="600341002">
      <w:bodyDiv w:val="1"/>
      <w:marLeft w:val="0"/>
      <w:marRight w:val="0"/>
      <w:marTop w:val="0"/>
      <w:marBottom w:val="0"/>
      <w:divBdr>
        <w:top w:val="none" w:sz="0" w:space="0" w:color="auto"/>
        <w:left w:val="none" w:sz="0" w:space="0" w:color="auto"/>
        <w:bottom w:val="none" w:sz="0" w:space="0" w:color="auto"/>
        <w:right w:val="none" w:sz="0" w:space="0" w:color="auto"/>
      </w:divBdr>
    </w:div>
    <w:div w:id="668098406">
      <w:bodyDiv w:val="1"/>
      <w:marLeft w:val="0"/>
      <w:marRight w:val="0"/>
      <w:marTop w:val="0"/>
      <w:marBottom w:val="0"/>
      <w:divBdr>
        <w:top w:val="none" w:sz="0" w:space="0" w:color="auto"/>
        <w:left w:val="none" w:sz="0" w:space="0" w:color="auto"/>
        <w:bottom w:val="none" w:sz="0" w:space="0" w:color="auto"/>
        <w:right w:val="none" w:sz="0" w:space="0" w:color="auto"/>
      </w:divBdr>
    </w:div>
    <w:div w:id="807476015">
      <w:bodyDiv w:val="1"/>
      <w:marLeft w:val="0"/>
      <w:marRight w:val="0"/>
      <w:marTop w:val="0"/>
      <w:marBottom w:val="0"/>
      <w:divBdr>
        <w:top w:val="none" w:sz="0" w:space="0" w:color="auto"/>
        <w:left w:val="none" w:sz="0" w:space="0" w:color="auto"/>
        <w:bottom w:val="none" w:sz="0" w:space="0" w:color="auto"/>
        <w:right w:val="none" w:sz="0" w:space="0" w:color="auto"/>
      </w:divBdr>
    </w:div>
    <w:div w:id="836457225">
      <w:bodyDiv w:val="1"/>
      <w:marLeft w:val="0"/>
      <w:marRight w:val="0"/>
      <w:marTop w:val="0"/>
      <w:marBottom w:val="0"/>
      <w:divBdr>
        <w:top w:val="none" w:sz="0" w:space="0" w:color="auto"/>
        <w:left w:val="none" w:sz="0" w:space="0" w:color="auto"/>
        <w:bottom w:val="none" w:sz="0" w:space="0" w:color="auto"/>
        <w:right w:val="none" w:sz="0" w:space="0" w:color="auto"/>
      </w:divBdr>
    </w:div>
    <w:div w:id="909198772">
      <w:bodyDiv w:val="1"/>
      <w:marLeft w:val="0"/>
      <w:marRight w:val="0"/>
      <w:marTop w:val="0"/>
      <w:marBottom w:val="0"/>
      <w:divBdr>
        <w:top w:val="none" w:sz="0" w:space="0" w:color="auto"/>
        <w:left w:val="none" w:sz="0" w:space="0" w:color="auto"/>
        <w:bottom w:val="none" w:sz="0" w:space="0" w:color="auto"/>
        <w:right w:val="none" w:sz="0" w:space="0" w:color="auto"/>
      </w:divBdr>
    </w:div>
    <w:div w:id="1045181837">
      <w:bodyDiv w:val="1"/>
      <w:marLeft w:val="0"/>
      <w:marRight w:val="0"/>
      <w:marTop w:val="0"/>
      <w:marBottom w:val="0"/>
      <w:divBdr>
        <w:top w:val="none" w:sz="0" w:space="0" w:color="auto"/>
        <w:left w:val="none" w:sz="0" w:space="0" w:color="auto"/>
        <w:bottom w:val="none" w:sz="0" w:space="0" w:color="auto"/>
        <w:right w:val="none" w:sz="0" w:space="0" w:color="auto"/>
      </w:divBdr>
    </w:div>
    <w:div w:id="1169440276">
      <w:bodyDiv w:val="1"/>
      <w:marLeft w:val="0"/>
      <w:marRight w:val="0"/>
      <w:marTop w:val="0"/>
      <w:marBottom w:val="0"/>
      <w:divBdr>
        <w:top w:val="none" w:sz="0" w:space="0" w:color="auto"/>
        <w:left w:val="none" w:sz="0" w:space="0" w:color="auto"/>
        <w:bottom w:val="none" w:sz="0" w:space="0" w:color="auto"/>
        <w:right w:val="none" w:sz="0" w:space="0" w:color="auto"/>
      </w:divBdr>
    </w:div>
    <w:div w:id="1362321933">
      <w:bodyDiv w:val="1"/>
      <w:marLeft w:val="0"/>
      <w:marRight w:val="0"/>
      <w:marTop w:val="0"/>
      <w:marBottom w:val="0"/>
      <w:divBdr>
        <w:top w:val="none" w:sz="0" w:space="0" w:color="auto"/>
        <w:left w:val="none" w:sz="0" w:space="0" w:color="auto"/>
        <w:bottom w:val="none" w:sz="0" w:space="0" w:color="auto"/>
        <w:right w:val="none" w:sz="0" w:space="0" w:color="auto"/>
      </w:divBdr>
    </w:div>
    <w:div w:id="1746805016">
      <w:bodyDiv w:val="1"/>
      <w:marLeft w:val="0"/>
      <w:marRight w:val="0"/>
      <w:marTop w:val="0"/>
      <w:marBottom w:val="0"/>
      <w:divBdr>
        <w:top w:val="none" w:sz="0" w:space="0" w:color="auto"/>
        <w:left w:val="none" w:sz="0" w:space="0" w:color="auto"/>
        <w:bottom w:val="none" w:sz="0" w:space="0" w:color="auto"/>
        <w:right w:val="none" w:sz="0" w:space="0" w:color="auto"/>
      </w:divBdr>
    </w:div>
    <w:div w:id="1750925893">
      <w:bodyDiv w:val="1"/>
      <w:marLeft w:val="0"/>
      <w:marRight w:val="0"/>
      <w:marTop w:val="0"/>
      <w:marBottom w:val="0"/>
      <w:divBdr>
        <w:top w:val="none" w:sz="0" w:space="0" w:color="auto"/>
        <w:left w:val="none" w:sz="0" w:space="0" w:color="auto"/>
        <w:bottom w:val="none" w:sz="0" w:space="0" w:color="auto"/>
        <w:right w:val="none" w:sz="0" w:space="0" w:color="auto"/>
      </w:divBdr>
    </w:div>
    <w:div w:id="2078674083">
      <w:bodyDiv w:val="1"/>
      <w:marLeft w:val="0"/>
      <w:marRight w:val="0"/>
      <w:marTop w:val="0"/>
      <w:marBottom w:val="0"/>
      <w:divBdr>
        <w:top w:val="none" w:sz="0" w:space="0" w:color="auto"/>
        <w:left w:val="none" w:sz="0" w:space="0" w:color="auto"/>
        <w:bottom w:val="none" w:sz="0" w:space="0" w:color="auto"/>
        <w:right w:val="none" w:sz="0" w:space="0" w:color="auto"/>
      </w:divBdr>
    </w:div>
    <w:div w:id="2085297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pharmgkb.org/search/clinicalAnnotationList.action?levelOfEvidence=to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harmgkb.org" TargetMode="External"/><Relationship Id="rId17" Type="http://schemas.openxmlformats.org/officeDocument/2006/relationships/hyperlink" Target="http://www.pharmgkb.org/search/browse/pathways.action" TargetMode="External"/><Relationship Id="rId2" Type="http://schemas.openxmlformats.org/officeDocument/2006/relationships/numbering" Target="numbering.xml"/><Relationship Id="rId16" Type="http://schemas.openxmlformats.org/officeDocument/2006/relationships/hyperlink" Target="http://www.pharmgkb.org/search/browseVip.action?browseKey=vipGe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i.klein@stanford.edu" TargetMode="External"/><Relationship Id="rId5" Type="http://schemas.openxmlformats.org/officeDocument/2006/relationships/webSettings" Target="webSettings.xml"/><Relationship Id="rId15" Type="http://schemas.openxmlformats.org/officeDocument/2006/relationships/hyperlink" Target="http://www.pharmgkb.org/view/dosing-guidelines.do" TargetMode="External"/><Relationship Id="rId10" Type="http://schemas.openxmlformats.org/officeDocument/2006/relationships/hyperlink" Target="mailto:clinvar@ncbi.nlm.nih.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linvar@ncbi.nlm.nih.gov" TargetMode="External"/><Relationship Id="rId14" Type="http://schemas.openxmlformats.org/officeDocument/2006/relationships/hyperlink" Target="http://www.pharmgkb.org/search/knownPairs.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646D8-2B78-47A3-BFE5-0F0BFE81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2305</Words>
  <Characters>13142</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15417</CharactersWithSpaces>
  <SharedDoc>false</SharedDoc>
  <HLinks>
    <vt:vector size="12" baseType="variant">
      <vt:variant>
        <vt:i4>2359297</vt:i4>
      </vt:variant>
      <vt:variant>
        <vt:i4>3</vt:i4>
      </vt:variant>
      <vt:variant>
        <vt:i4>0</vt:i4>
      </vt:variant>
      <vt:variant>
        <vt:i4>5</vt:i4>
      </vt:variant>
      <vt:variant>
        <vt:lpwstr>mailto:clinvar@ncbi.nlm.nih.gov</vt:lpwstr>
      </vt:variant>
      <vt:variant>
        <vt:lpwstr/>
      </vt:variant>
      <vt:variant>
        <vt:i4>2359297</vt:i4>
      </vt:variant>
      <vt:variant>
        <vt:i4>0</vt:i4>
      </vt:variant>
      <vt:variant>
        <vt:i4>0</vt:i4>
      </vt:variant>
      <vt:variant>
        <vt:i4>5</vt:i4>
      </vt:variant>
      <vt:variant>
        <vt:lpwstr>mailto:clinvar@ncbi.nlm.nih.gov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Plon</dc:creator>
  <cp:lastModifiedBy>Landrum, Melissa (NIH/NLM/NCBI) [E]</cp:lastModifiedBy>
  <cp:revision>2</cp:revision>
  <dcterms:created xsi:type="dcterms:W3CDTF">2015-11-20T18:25:00Z</dcterms:created>
  <dcterms:modified xsi:type="dcterms:W3CDTF">2015-11-20T18:25:00Z</dcterms:modified>
</cp:coreProperties>
</file>