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58" w:rsidRPr="005B2217" w:rsidRDefault="00E87B58" w:rsidP="00484EEA">
      <w:pPr>
        <w:spacing w:after="0" w:line="240" w:lineRule="auto"/>
        <w:jc w:val="right"/>
        <w:rPr>
          <w:sz w:val="24"/>
          <w:szCs w:val="24"/>
        </w:rPr>
      </w:pPr>
      <w:r w:rsidRPr="005B2217">
        <w:rPr>
          <w:sz w:val="24"/>
          <w:szCs w:val="24"/>
        </w:rPr>
        <w:t xml:space="preserve">May </w:t>
      </w:r>
      <w:r w:rsidR="00F01973">
        <w:rPr>
          <w:sz w:val="24"/>
          <w:szCs w:val="24"/>
        </w:rPr>
        <w:t>21</w:t>
      </w:r>
      <w:r w:rsidR="007C5277" w:rsidRPr="005B2217">
        <w:rPr>
          <w:sz w:val="24"/>
          <w:szCs w:val="24"/>
        </w:rPr>
        <w:t>, 2015</w:t>
      </w:r>
    </w:p>
    <w:p w:rsidR="00817462" w:rsidRPr="005B2217" w:rsidRDefault="00817462" w:rsidP="00484EEA">
      <w:pPr>
        <w:spacing w:after="0" w:line="240" w:lineRule="auto"/>
        <w:jc w:val="both"/>
        <w:rPr>
          <w:sz w:val="24"/>
          <w:szCs w:val="24"/>
        </w:rPr>
      </w:pPr>
    </w:p>
    <w:p w:rsidR="00006041" w:rsidRPr="005B2217" w:rsidRDefault="00006041" w:rsidP="00484EEA">
      <w:pPr>
        <w:spacing w:after="0" w:line="240" w:lineRule="auto"/>
        <w:jc w:val="both"/>
        <w:rPr>
          <w:sz w:val="24"/>
          <w:szCs w:val="24"/>
        </w:rPr>
      </w:pPr>
    </w:p>
    <w:p w:rsidR="00823B6B" w:rsidRPr="005B2217" w:rsidRDefault="00283A80" w:rsidP="00E87B58">
      <w:pPr>
        <w:tabs>
          <w:tab w:val="left" w:pos="2775"/>
        </w:tabs>
        <w:spacing w:after="0" w:line="240" w:lineRule="auto"/>
        <w:jc w:val="both"/>
        <w:rPr>
          <w:sz w:val="24"/>
          <w:szCs w:val="24"/>
        </w:rPr>
      </w:pPr>
      <w:r w:rsidRPr="005B2217">
        <w:rPr>
          <w:sz w:val="24"/>
          <w:szCs w:val="24"/>
        </w:rPr>
        <w:t>Dear</w:t>
      </w:r>
      <w:r w:rsidR="00E87B58" w:rsidRPr="005B2217">
        <w:rPr>
          <w:sz w:val="24"/>
          <w:szCs w:val="24"/>
        </w:rPr>
        <w:t xml:space="preserve"> Amanda B. Spurdle </w:t>
      </w:r>
      <w:r w:rsidR="00F01973">
        <w:rPr>
          <w:sz w:val="24"/>
          <w:szCs w:val="24"/>
        </w:rPr>
        <w:t>(</w:t>
      </w:r>
      <w:r w:rsidR="00E87B58" w:rsidRPr="005B2217">
        <w:rPr>
          <w:sz w:val="24"/>
          <w:szCs w:val="24"/>
        </w:rPr>
        <w:t>on behalf of the ENIGMA Consortium</w:t>
      </w:r>
      <w:r w:rsidR="00F01973">
        <w:rPr>
          <w:sz w:val="24"/>
          <w:szCs w:val="24"/>
        </w:rPr>
        <w:t>)</w:t>
      </w:r>
      <w:r w:rsidR="00E87B58" w:rsidRPr="005B2217">
        <w:rPr>
          <w:sz w:val="24"/>
          <w:szCs w:val="24"/>
        </w:rPr>
        <w:t xml:space="preserve">, </w:t>
      </w:r>
    </w:p>
    <w:p w:rsidR="00E87B58" w:rsidRPr="005B2217" w:rsidRDefault="00E87B58" w:rsidP="00484EEA">
      <w:pPr>
        <w:spacing w:after="0" w:line="240" w:lineRule="auto"/>
        <w:jc w:val="both"/>
        <w:rPr>
          <w:sz w:val="24"/>
          <w:szCs w:val="24"/>
        </w:rPr>
      </w:pPr>
    </w:p>
    <w:p w:rsidR="000B7ADB" w:rsidRPr="005B2217" w:rsidRDefault="00283A80" w:rsidP="00484EEA">
      <w:pPr>
        <w:spacing w:after="0" w:line="240" w:lineRule="auto"/>
        <w:jc w:val="both"/>
        <w:rPr>
          <w:sz w:val="24"/>
          <w:szCs w:val="24"/>
        </w:rPr>
      </w:pPr>
      <w:r w:rsidRPr="005B2217">
        <w:rPr>
          <w:sz w:val="24"/>
          <w:szCs w:val="24"/>
        </w:rPr>
        <w:t xml:space="preserve">Thank you for your </w:t>
      </w:r>
      <w:r w:rsidR="00E87B58" w:rsidRPr="005B2217">
        <w:rPr>
          <w:sz w:val="24"/>
          <w:szCs w:val="24"/>
        </w:rPr>
        <w:t>application</w:t>
      </w:r>
      <w:r w:rsidRPr="005B2217">
        <w:rPr>
          <w:sz w:val="24"/>
          <w:szCs w:val="24"/>
        </w:rPr>
        <w:t xml:space="preserve"> for </w:t>
      </w:r>
      <w:r w:rsidR="007C5277" w:rsidRPr="005B2217">
        <w:rPr>
          <w:sz w:val="24"/>
          <w:szCs w:val="24"/>
        </w:rPr>
        <w:t>Expert Panel Status (3</w:t>
      </w:r>
      <w:r w:rsidR="00E87B58" w:rsidRPr="005B2217">
        <w:rPr>
          <w:sz w:val="24"/>
          <w:szCs w:val="24"/>
        </w:rPr>
        <w:t xml:space="preserve"> stars) in ClinVar.  ENIGMA’s</w:t>
      </w:r>
      <w:r w:rsidR="000B7ADB" w:rsidRPr="005B2217">
        <w:rPr>
          <w:sz w:val="24"/>
          <w:szCs w:val="24"/>
        </w:rPr>
        <w:t xml:space="preserve"> proposal was </w:t>
      </w:r>
      <w:r w:rsidR="00F01973">
        <w:rPr>
          <w:sz w:val="24"/>
          <w:szCs w:val="24"/>
        </w:rPr>
        <w:t>carefully</w:t>
      </w:r>
      <w:r w:rsidR="000B7ADB" w:rsidRPr="005B2217">
        <w:rPr>
          <w:sz w:val="24"/>
          <w:szCs w:val="24"/>
        </w:rPr>
        <w:t xml:space="preserve"> considered and discussed </w:t>
      </w:r>
      <w:r w:rsidR="00685EB9" w:rsidRPr="005B2217">
        <w:rPr>
          <w:sz w:val="24"/>
          <w:szCs w:val="24"/>
        </w:rPr>
        <w:t>by the</w:t>
      </w:r>
      <w:r w:rsidR="000B7ADB" w:rsidRPr="005B2217">
        <w:rPr>
          <w:sz w:val="24"/>
          <w:szCs w:val="24"/>
        </w:rPr>
        <w:t xml:space="preserve"> ClinGen </w:t>
      </w:r>
      <w:r w:rsidR="00E87B58" w:rsidRPr="005B2217">
        <w:rPr>
          <w:sz w:val="24"/>
          <w:szCs w:val="24"/>
        </w:rPr>
        <w:t xml:space="preserve">Hereditary Cancer Working Group and the ClinGen </w:t>
      </w:r>
      <w:r w:rsidR="000B7ADB" w:rsidRPr="005B2217">
        <w:rPr>
          <w:sz w:val="24"/>
          <w:szCs w:val="24"/>
        </w:rPr>
        <w:t>Steering Committee (formerly referred to as th</w:t>
      </w:r>
      <w:r w:rsidR="00E87B58" w:rsidRPr="005B2217">
        <w:rPr>
          <w:sz w:val="24"/>
          <w:szCs w:val="24"/>
        </w:rPr>
        <w:t xml:space="preserve">e ClinGen Executive Committee).  </w:t>
      </w:r>
      <w:r w:rsidR="000B7ADB" w:rsidRPr="005B2217">
        <w:rPr>
          <w:sz w:val="24"/>
          <w:szCs w:val="24"/>
        </w:rPr>
        <w:t>The ClinGen Steering Commi</w:t>
      </w:r>
      <w:r w:rsidR="00E87B58" w:rsidRPr="005B2217">
        <w:rPr>
          <w:sz w:val="24"/>
          <w:szCs w:val="24"/>
        </w:rPr>
        <w:t>ttee was impres</w:t>
      </w:r>
      <w:bookmarkStart w:id="0" w:name="_GoBack"/>
      <w:bookmarkEnd w:id="0"/>
      <w:r w:rsidR="00E87B58" w:rsidRPr="005B2217">
        <w:rPr>
          <w:sz w:val="24"/>
          <w:szCs w:val="24"/>
        </w:rPr>
        <w:t xml:space="preserve">sed with your application and has enthusiastically approved ENIGMA for Expert Panel status in ClinVar. </w:t>
      </w:r>
    </w:p>
    <w:p w:rsidR="000B7ADB" w:rsidRPr="005B2217" w:rsidRDefault="000B7ADB" w:rsidP="00484EEA">
      <w:pPr>
        <w:spacing w:after="0" w:line="240" w:lineRule="auto"/>
        <w:jc w:val="both"/>
        <w:rPr>
          <w:sz w:val="24"/>
          <w:szCs w:val="24"/>
        </w:rPr>
      </w:pPr>
    </w:p>
    <w:p w:rsidR="00283A80" w:rsidRPr="005B2217" w:rsidRDefault="00E87B58" w:rsidP="00484EE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5B2217">
        <w:rPr>
          <w:rFonts w:eastAsia="Times New Roman"/>
          <w:color w:val="000000"/>
          <w:sz w:val="24"/>
          <w:szCs w:val="24"/>
        </w:rPr>
        <w:t>We</w:t>
      </w:r>
      <w:r w:rsidR="000B7ADB" w:rsidRPr="005B2217">
        <w:rPr>
          <w:rFonts w:eastAsia="Times New Roman"/>
          <w:color w:val="000000"/>
          <w:sz w:val="24"/>
          <w:szCs w:val="24"/>
        </w:rPr>
        <w:t xml:space="preserve"> l</w:t>
      </w:r>
      <w:r w:rsidR="00BE46E7" w:rsidRPr="005B2217">
        <w:rPr>
          <w:rFonts w:eastAsia="Times New Roman"/>
          <w:color w:val="000000"/>
          <w:sz w:val="24"/>
          <w:szCs w:val="24"/>
        </w:rPr>
        <w:t>ook forward to working with you to guide your submissi</w:t>
      </w:r>
      <w:r w:rsidRPr="005B2217">
        <w:rPr>
          <w:rFonts w:eastAsia="Times New Roman"/>
          <w:color w:val="000000"/>
          <w:sz w:val="24"/>
          <w:szCs w:val="24"/>
        </w:rPr>
        <w:t xml:space="preserve">on into ClinVar.  </w:t>
      </w:r>
      <w:r w:rsidR="008D77DE" w:rsidRPr="005B2217">
        <w:rPr>
          <w:rFonts w:eastAsia="Times New Roman"/>
          <w:color w:val="000000"/>
          <w:sz w:val="24"/>
          <w:szCs w:val="24"/>
        </w:rPr>
        <w:t>Thank you for your application and p</w:t>
      </w:r>
      <w:r w:rsidR="00283A80" w:rsidRPr="005B2217">
        <w:rPr>
          <w:rFonts w:eastAsia="Times New Roman"/>
          <w:color w:val="000000"/>
          <w:sz w:val="24"/>
          <w:szCs w:val="24"/>
        </w:rPr>
        <w:t>lease do not hesitate to contact us with any questions.</w:t>
      </w:r>
    </w:p>
    <w:p w:rsidR="00033758" w:rsidRPr="005B2217" w:rsidRDefault="00033758" w:rsidP="00484EEA">
      <w:pPr>
        <w:spacing w:after="0" w:line="240" w:lineRule="auto"/>
        <w:jc w:val="both"/>
        <w:rPr>
          <w:sz w:val="24"/>
          <w:szCs w:val="24"/>
        </w:rPr>
      </w:pPr>
    </w:p>
    <w:p w:rsidR="00033758" w:rsidRPr="005B2217" w:rsidRDefault="00033758" w:rsidP="00484EEA">
      <w:pPr>
        <w:spacing w:after="0" w:line="240" w:lineRule="auto"/>
        <w:jc w:val="both"/>
        <w:rPr>
          <w:sz w:val="24"/>
          <w:szCs w:val="24"/>
        </w:rPr>
      </w:pPr>
      <w:r w:rsidRPr="005B2217">
        <w:rPr>
          <w:sz w:val="24"/>
          <w:szCs w:val="24"/>
        </w:rPr>
        <w:t>Sincerely,</w:t>
      </w:r>
    </w:p>
    <w:p w:rsidR="00685EB9" w:rsidRPr="005B2217" w:rsidRDefault="00685EB9" w:rsidP="00484EEA">
      <w:pPr>
        <w:spacing w:after="0" w:line="240" w:lineRule="auto"/>
        <w:jc w:val="both"/>
        <w:rPr>
          <w:sz w:val="24"/>
          <w:szCs w:val="24"/>
        </w:rPr>
      </w:pPr>
    </w:p>
    <w:p w:rsidR="00033758" w:rsidRPr="005B2217" w:rsidRDefault="00F01973" w:rsidP="00484EEA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E85519" w:rsidRPr="005B2217">
        <w:rPr>
          <w:sz w:val="24"/>
          <w:szCs w:val="24"/>
        </w:rPr>
        <w:t>onathan Berg, on behalf of t</w:t>
      </w:r>
      <w:r w:rsidR="008D77DE" w:rsidRPr="005B2217">
        <w:rPr>
          <w:sz w:val="24"/>
          <w:szCs w:val="24"/>
        </w:rPr>
        <w:t>he</w:t>
      </w:r>
      <w:r w:rsidR="00033758" w:rsidRPr="005B2217">
        <w:rPr>
          <w:sz w:val="24"/>
          <w:szCs w:val="24"/>
        </w:rPr>
        <w:t xml:space="preserve"> ClinGen </w:t>
      </w:r>
      <w:r w:rsidR="00B00817" w:rsidRPr="005B2217">
        <w:rPr>
          <w:sz w:val="24"/>
          <w:szCs w:val="24"/>
        </w:rPr>
        <w:t>Steering</w:t>
      </w:r>
      <w:r w:rsidR="00033758" w:rsidRPr="005B2217">
        <w:rPr>
          <w:sz w:val="24"/>
          <w:szCs w:val="24"/>
        </w:rPr>
        <w:t xml:space="preserve"> Committee </w:t>
      </w:r>
    </w:p>
    <w:sectPr w:rsidR="00033758" w:rsidRPr="005B2217" w:rsidSect="00D76A37">
      <w:headerReference w:type="default" r:id="rId7"/>
      <w:headerReference w:type="first" r:id="rId8"/>
      <w:pgSz w:w="12240" w:h="15840" w:code="1"/>
      <w:pgMar w:top="1440" w:right="1440" w:bottom="1440" w:left="1440" w:header="576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051" w:rsidRDefault="006B3051" w:rsidP="00BF2B25">
      <w:pPr>
        <w:spacing w:after="0" w:line="240" w:lineRule="auto"/>
      </w:pPr>
      <w:r>
        <w:separator/>
      </w:r>
    </w:p>
  </w:endnote>
  <w:endnote w:type="continuationSeparator" w:id="0">
    <w:p w:rsidR="006B3051" w:rsidRDefault="006B3051" w:rsidP="00BF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051" w:rsidRDefault="006B3051" w:rsidP="00BF2B25">
      <w:pPr>
        <w:spacing w:after="0" w:line="240" w:lineRule="auto"/>
      </w:pPr>
      <w:r>
        <w:separator/>
      </w:r>
    </w:p>
  </w:footnote>
  <w:footnote w:type="continuationSeparator" w:id="0">
    <w:p w:rsidR="006B3051" w:rsidRDefault="006B3051" w:rsidP="00BF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758" w:rsidRDefault="00033758" w:rsidP="008E44C1">
    <w:pPr>
      <w:pStyle w:val="Header"/>
    </w:pPr>
  </w:p>
  <w:p w:rsidR="00033758" w:rsidRDefault="00033758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37" w:rsidRDefault="00817462" w:rsidP="00A1560D">
    <w:pPr>
      <w:pStyle w:val="Header"/>
      <w:ind w:left="-1152"/>
    </w:pPr>
    <w:r w:rsidRPr="00A1560D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81915</wp:posOffset>
          </wp:positionV>
          <wp:extent cx="1400175" cy="990600"/>
          <wp:effectExtent l="0" t="0" r="9525" b="0"/>
          <wp:wrapSquare wrapText="bothSides"/>
          <wp:docPr id="4" name="Picture 1" descr="C:\Users\drm23\Desktop\Clin-Gen-Logo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m23\Desktop\Clin-Gen-Logo-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3C21">
      <w:rPr>
        <w:noProof/>
      </w:rPr>
      <w:pict>
        <v:rect id="Rectangle 3" o:spid="_x0000_s10240" style="position:absolute;left:0;text-align:left;margin-left:-1in;margin-top:0;width:2in;height:647.95pt;z-index:251662336;visibility:visible;mso-wrap-style:square;mso-width-percent:0;mso-height-percent:10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" o:allowincell="f" filled="f" fillcolor="#4f81bd [3204]" stroked="f">
          <v:textbox inset="18pt,0,0,0">
            <w:txbxContent>
              <w:p w:rsidR="00D76A37" w:rsidRDefault="00D76A37" w:rsidP="00D76A37">
                <w:pPr>
                  <w:pStyle w:val="NoSpacing"/>
                  <w:rPr>
                    <w:b/>
                    <w:i/>
                    <w:color w:val="1F497D" w:themeColor="text2"/>
                    <w:sz w:val="18"/>
                    <w:szCs w:val="18"/>
                  </w:rPr>
                </w:pPr>
              </w:p>
              <w:p w:rsidR="00817462" w:rsidRDefault="00817462" w:rsidP="00D76A37">
                <w:pPr>
                  <w:pStyle w:val="NoSpacing"/>
                  <w:rPr>
                    <w:b/>
                    <w:i/>
                    <w:color w:val="1F497D" w:themeColor="text2"/>
                    <w:sz w:val="18"/>
                    <w:szCs w:val="18"/>
                  </w:rPr>
                </w:pPr>
              </w:p>
              <w:p w:rsidR="00817462" w:rsidRDefault="00817462" w:rsidP="00D76A37">
                <w:pPr>
                  <w:pStyle w:val="NoSpacing"/>
                  <w:rPr>
                    <w:b/>
                    <w:i/>
                    <w:color w:val="1F497D" w:themeColor="text2"/>
                    <w:sz w:val="18"/>
                    <w:szCs w:val="18"/>
                  </w:rPr>
                </w:pPr>
              </w:p>
              <w:p w:rsidR="00817462" w:rsidRDefault="00817462" w:rsidP="00D76A37">
                <w:pPr>
                  <w:pStyle w:val="NoSpacing"/>
                  <w:rPr>
                    <w:b/>
                    <w:i/>
                    <w:color w:val="1F497D" w:themeColor="text2"/>
                    <w:sz w:val="18"/>
                    <w:szCs w:val="18"/>
                  </w:rPr>
                </w:pPr>
              </w:p>
              <w:p w:rsidR="00817462" w:rsidRDefault="00817462" w:rsidP="00D76A37">
                <w:pPr>
                  <w:pStyle w:val="NoSpacing"/>
                  <w:rPr>
                    <w:b/>
                    <w:i/>
                    <w:color w:val="1F497D" w:themeColor="text2"/>
                    <w:sz w:val="18"/>
                    <w:szCs w:val="18"/>
                  </w:rPr>
                </w:pPr>
              </w:p>
              <w:p w:rsidR="00D76A37" w:rsidRPr="008E44C1" w:rsidRDefault="00D76A37" w:rsidP="00D76A37">
                <w:pPr>
                  <w:pStyle w:val="NoSpacing"/>
                  <w:rPr>
                    <w:b/>
                    <w:i/>
                    <w:color w:val="1F497D" w:themeColor="text2"/>
                    <w:sz w:val="18"/>
                    <w:szCs w:val="18"/>
                  </w:rPr>
                </w:pPr>
                <w:r w:rsidRPr="008E44C1">
                  <w:rPr>
                    <w:b/>
                    <w:i/>
                    <w:color w:val="1F497D" w:themeColor="text2"/>
                    <w:sz w:val="18"/>
                    <w:szCs w:val="18"/>
                  </w:rPr>
                  <w:t xml:space="preserve">ClinGen </w:t>
                </w:r>
                <w:r w:rsidR="000226F0">
                  <w:rPr>
                    <w:b/>
                    <w:i/>
                    <w:color w:val="1F497D" w:themeColor="text2"/>
                    <w:sz w:val="18"/>
                    <w:szCs w:val="18"/>
                  </w:rPr>
                  <w:t>Steering</w:t>
                </w:r>
                <w:r w:rsidRPr="008E44C1">
                  <w:rPr>
                    <w:b/>
                    <w:i/>
                    <w:color w:val="1F497D" w:themeColor="text2"/>
                    <w:sz w:val="18"/>
                    <w:szCs w:val="18"/>
                  </w:rPr>
                  <w:t xml:space="preserve"> Committee</w:t>
                </w:r>
              </w:p>
              <w:p w:rsidR="00D76A37" w:rsidRDefault="00D76A37" w:rsidP="00D76A37">
                <w:pPr>
                  <w:pStyle w:val="NoSpacing"/>
                  <w:rPr>
                    <w:color w:val="1F497D" w:themeColor="text2"/>
                    <w:sz w:val="18"/>
                    <w:szCs w:val="18"/>
                  </w:rPr>
                </w:pPr>
              </w:p>
              <w:p w:rsidR="000226F0" w:rsidRPr="000226F0" w:rsidRDefault="000226F0" w:rsidP="000226F0">
                <w:pPr>
                  <w:spacing w:after="120"/>
                  <w:rPr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 xml:space="preserve">Jonathan Berg, MD, PhD </w:t>
                </w:r>
              </w:p>
              <w:p w:rsidR="000226F0" w:rsidRPr="000226F0" w:rsidRDefault="000226F0" w:rsidP="000226F0">
                <w:pPr>
                  <w:spacing w:after="120"/>
                  <w:rPr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Lisa Brooks, PhD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Carlos Bustamante, PhD</w:t>
                </w:r>
              </w:p>
              <w:p w:rsidR="000226F0" w:rsidRPr="000226F0" w:rsidRDefault="000226F0" w:rsidP="000226F0">
                <w:pPr>
                  <w:spacing w:after="120"/>
                  <w:rPr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Mike Cherry, PhD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James Evans, MD, PhD</w:t>
                </w:r>
              </w:p>
              <w:p w:rsidR="000226F0" w:rsidRPr="000226F0" w:rsidRDefault="000226F0" w:rsidP="000226F0">
                <w:pPr>
                  <w:spacing w:after="120"/>
                  <w:rPr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Andy Faucett, MS, LGC</w:t>
                </w:r>
              </w:p>
              <w:p w:rsidR="000226F0" w:rsidRPr="000226F0" w:rsidRDefault="000226F0" w:rsidP="000226F0">
                <w:pPr>
                  <w:spacing w:after="120"/>
                  <w:rPr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Katrina Goddard, PhD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Danuta Krotoski, PhD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Melissa Landrum, PhD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David Ledbetter, PhD</w:t>
                </w:r>
              </w:p>
              <w:p w:rsidR="000226F0" w:rsidRPr="000226F0" w:rsidRDefault="000226F0" w:rsidP="000226F0">
                <w:pPr>
                  <w:spacing w:after="120"/>
                  <w:rPr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Christa Lese Martin</w:t>
                </w:r>
                <w:r>
                  <w:rPr>
                    <w:b/>
                    <w:bCs/>
                    <w:sz w:val="18"/>
                    <w:szCs w:val="18"/>
                  </w:rPr>
                  <w:t>, PhD</w:t>
                </w:r>
              </w:p>
              <w:p w:rsidR="000226F0" w:rsidRPr="000226F0" w:rsidRDefault="000226F0" w:rsidP="000226F0">
                <w:pPr>
                  <w:spacing w:after="120"/>
                  <w:rPr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Aleks Milosavljevic, PhD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Robert Nussbaum, MD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Kelly Ormond, MS, CGC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Sharon Plon, MD, PhD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Erin Ramos, MPH, PhD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Heidi Rehm, PhD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Sheri Schully, PhD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Steve Sherry, PhD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Michael Watson</w:t>
                </w:r>
                <w:r>
                  <w:rPr>
                    <w:b/>
                    <w:bCs/>
                    <w:sz w:val="18"/>
                    <w:szCs w:val="18"/>
                  </w:rPr>
                  <w:t>, PhD</w:t>
                </w:r>
              </w:p>
              <w:p w:rsidR="000226F0" w:rsidRPr="000226F0" w:rsidRDefault="000226F0" w:rsidP="000226F0">
                <w:pPr>
                  <w:spacing w:after="120"/>
                  <w:rPr>
                    <w:b/>
                    <w:bCs/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Kirk Wilhelmsen, PhD</w:t>
                </w:r>
              </w:p>
              <w:p w:rsidR="000226F0" w:rsidRPr="000226F0" w:rsidRDefault="000226F0" w:rsidP="000226F0">
                <w:pPr>
                  <w:spacing w:after="120"/>
                  <w:rPr>
                    <w:sz w:val="18"/>
                    <w:szCs w:val="18"/>
                  </w:rPr>
                </w:pPr>
                <w:r w:rsidRPr="000226F0">
                  <w:rPr>
                    <w:b/>
                    <w:bCs/>
                    <w:sz w:val="18"/>
                    <w:szCs w:val="18"/>
                  </w:rPr>
                  <w:t>Marc Williams, MD</w:t>
                </w:r>
              </w:p>
              <w:p w:rsidR="00D76A37" w:rsidRDefault="00D76A37"/>
            </w:txbxContent>
          </v:textbox>
          <w10:wrap type="square" anchorx="margin" anchory="margin"/>
        </v:rect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9C3"/>
    <w:multiLevelType w:val="hybridMultilevel"/>
    <w:tmpl w:val="5B24D40E"/>
    <w:lvl w:ilvl="0" w:tplc="2C40156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A664BDE"/>
    <w:multiLevelType w:val="hybridMultilevel"/>
    <w:tmpl w:val="873C6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F0F54"/>
    <w:multiLevelType w:val="hybridMultilevel"/>
    <w:tmpl w:val="588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847DA"/>
    <w:multiLevelType w:val="hybridMultilevel"/>
    <w:tmpl w:val="8AB0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2B25"/>
    <w:rsid w:val="00006041"/>
    <w:rsid w:val="000226F0"/>
    <w:rsid w:val="00033758"/>
    <w:rsid w:val="00056778"/>
    <w:rsid w:val="000B7ADB"/>
    <w:rsid w:val="00155A3F"/>
    <w:rsid w:val="0017503E"/>
    <w:rsid w:val="001B0AEE"/>
    <w:rsid w:val="002033F9"/>
    <w:rsid w:val="002177D0"/>
    <w:rsid w:val="002237BB"/>
    <w:rsid w:val="00283A80"/>
    <w:rsid w:val="0033404F"/>
    <w:rsid w:val="003C3C21"/>
    <w:rsid w:val="003F1AD2"/>
    <w:rsid w:val="0041520F"/>
    <w:rsid w:val="004311CD"/>
    <w:rsid w:val="00451DFA"/>
    <w:rsid w:val="0046101D"/>
    <w:rsid w:val="00484EEA"/>
    <w:rsid w:val="004C57FE"/>
    <w:rsid w:val="004E2CC8"/>
    <w:rsid w:val="004E6264"/>
    <w:rsid w:val="00506FC5"/>
    <w:rsid w:val="0059719E"/>
    <w:rsid w:val="005B2217"/>
    <w:rsid w:val="00606ED0"/>
    <w:rsid w:val="006364B3"/>
    <w:rsid w:val="00685EB9"/>
    <w:rsid w:val="006B3051"/>
    <w:rsid w:val="006E7B4B"/>
    <w:rsid w:val="007C5277"/>
    <w:rsid w:val="007D4F20"/>
    <w:rsid w:val="008006E4"/>
    <w:rsid w:val="00817462"/>
    <w:rsid w:val="00823B6B"/>
    <w:rsid w:val="008472A6"/>
    <w:rsid w:val="00853E5F"/>
    <w:rsid w:val="00867E8D"/>
    <w:rsid w:val="008A3FE7"/>
    <w:rsid w:val="008D77DE"/>
    <w:rsid w:val="008E2F6B"/>
    <w:rsid w:val="008E44C1"/>
    <w:rsid w:val="00953749"/>
    <w:rsid w:val="009E1973"/>
    <w:rsid w:val="00A1560D"/>
    <w:rsid w:val="00AE46B6"/>
    <w:rsid w:val="00B00817"/>
    <w:rsid w:val="00B17AC3"/>
    <w:rsid w:val="00B87309"/>
    <w:rsid w:val="00B94DE9"/>
    <w:rsid w:val="00BE46E7"/>
    <w:rsid w:val="00BF2B25"/>
    <w:rsid w:val="00C47F0B"/>
    <w:rsid w:val="00C7322C"/>
    <w:rsid w:val="00C94524"/>
    <w:rsid w:val="00C958A9"/>
    <w:rsid w:val="00D06601"/>
    <w:rsid w:val="00D6709D"/>
    <w:rsid w:val="00D76A37"/>
    <w:rsid w:val="00D86DD3"/>
    <w:rsid w:val="00DE240B"/>
    <w:rsid w:val="00E0200D"/>
    <w:rsid w:val="00E651A6"/>
    <w:rsid w:val="00E85519"/>
    <w:rsid w:val="00E87B58"/>
    <w:rsid w:val="00F01973"/>
    <w:rsid w:val="00F16AEB"/>
    <w:rsid w:val="00F17113"/>
    <w:rsid w:val="00F451FA"/>
    <w:rsid w:val="00F94F67"/>
    <w:rsid w:val="00FC1A23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B2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B2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F2B25"/>
  </w:style>
  <w:style w:type="paragraph" w:styleId="Footer">
    <w:name w:val="footer"/>
    <w:basedOn w:val="Normal"/>
    <w:link w:val="FooterChar"/>
    <w:uiPriority w:val="99"/>
    <w:unhideWhenUsed/>
    <w:rsid w:val="00BF2B2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F2B25"/>
  </w:style>
  <w:style w:type="paragraph" w:styleId="NoSpacing">
    <w:name w:val="No Spacing"/>
    <w:uiPriority w:val="1"/>
    <w:qFormat/>
    <w:rsid w:val="004E62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37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758"/>
    <w:pPr>
      <w:ind w:left="720"/>
      <w:contextualSpacing/>
    </w:pPr>
  </w:style>
  <w:style w:type="paragraph" w:customStyle="1" w:styleId="Default">
    <w:name w:val="Default"/>
    <w:rsid w:val="00033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6A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B2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B2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F2B25"/>
  </w:style>
  <w:style w:type="paragraph" w:styleId="Footer">
    <w:name w:val="footer"/>
    <w:basedOn w:val="Normal"/>
    <w:link w:val="FooterChar"/>
    <w:uiPriority w:val="99"/>
    <w:unhideWhenUsed/>
    <w:rsid w:val="00BF2B2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F2B25"/>
  </w:style>
  <w:style w:type="paragraph" w:styleId="NoSpacing">
    <w:name w:val="No Spacing"/>
    <w:uiPriority w:val="1"/>
    <w:qFormat/>
    <w:rsid w:val="004E62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37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758"/>
    <w:pPr>
      <w:ind w:left="720"/>
      <w:contextualSpacing/>
    </w:pPr>
  </w:style>
  <w:style w:type="paragraph" w:customStyle="1" w:styleId="Default">
    <w:name w:val="Default"/>
    <w:rsid w:val="00033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6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Mailly</dc:creator>
  <cp:lastModifiedBy>Annie Niehaus</cp:lastModifiedBy>
  <cp:revision>2</cp:revision>
  <cp:lastPrinted>2014-10-16T13:57:00Z</cp:lastPrinted>
  <dcterms:created xsi:type="dcterms:W3CDTF">2015-05-21T17:15:00Z</dcterms:created>
  <dcterms:modified xsi:type="dcterms:W3CDTF">2015-05-21T17:15:00Z</dcterms:modified>
</cp:coreProperties>
</file>